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rPr>
      </w:pPr>
    </w:p>
    <w:p>
      <w:pPr>
        <w:jc w:val="center"/>
        <w:rPr>
          <w:b/>
          <w:bCs/>
          <w:sz w:val="44"/>
        </w:rPr>
      </w:pPr>
    </w:p>
    <w:p>
      <w:pPr>
        <w:jc w:val="center"/>
        <w:rPr>
          <w:b/>
          <w:bCs/>
          <w:sz w:val="44"/>
        </w:rPr>
      </w:pPr>
    </w:p>
    <w:p>
      <w:pPr>
        <w:jc w:val="center"/>
        <w:rPr>
          <w:rFonts w:ascii="黑体" w:hAnsi="黑体" w:eastAsia="黑体"/>
          <w:b/>
          <w:bCs/>
          <w:sz w:val="52"/>
          <w:szCs w:val="52"/>
        </w:rPr>
      </w:pPr>
      <w:r>
        <w:rPr>
          <w:rFonts w:hint="eastAsia" w:ascii="黑体" w:hAnsi="黑体" w:eastAsia="黑体"/>
          <w:b/>
          <w:bCs/>
          <w:sz w:val="52"/>
          <w:szCs w:val="52"/>
        </w:rPr>
        <w:t>无锡荣成环保科技有限公司</w:t>
      </w:r>
    </w:p>
    <w:p>
      <w:pPr>
        <w:jc w:val="center"/>
        <w:rPr>
          <w:rFonts w:ascii="黑体" w:hAnsi="黑体" w:eastAsia="黑体"/>
          <w:b/>
          <w:bCs/>
          <w:sz w:val="52"/>
          <w:szCs w:val="52"/>
        </w:rPr>
      </w:pPr>
    </w:p>
    <w:p>
      <w:pPr>
        <w:jc w:val="center"/>
        <w:rPr>
          <w:rFonts w:ascii="黑体" w:hAnsi="黑体" w:eastAsia="黑体"/>
          <w:b/>
          <w:bCs/>
          <w:sz w:val="72"/>
          <w:szCs w:val="72"/>
        </w:rPr>
      </w:pPr>
      <w:r>
        <w:rPr>
          <w:rFonts w:ascii="黑体" w:hAnsi="黑体" w:eastAsia="黑体"/>
          <w:b/>
          <w:bCs/>
          <w:sz w:val="72"/>
          <w:szCs w:val="72"/>
        </w:rPr>
        <w:t>社会责任报告</w:t>
      </w:r>
    </w:p>
    <w:p>
      <w:pPr>
        <w:jc w:val="center"/>
        <w:rPr>
          <w:rFonts w:ascii="黑体" w:hAnsi="黑体" w:eastAsia="黑体"/>
          <w:b/>
          <w:sz w:val="52"/>
          <w:szCs w:val="52"/>
        </w:rPr>
      </w:pPr>
      <w:r>
        <w:rPr>
          <w:rFonts w:hint="eastAsia" w:ascii="黑体" w:hAnsi="黑体" w:eastAsia="黑体"/>
          <w:b/>
          <w:sz w:val="52"/>
          <w:szCs w:val="52"/>
        </w:rPr>
        <w:t>（2020年度）</w:t>
      </w: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rPr>
          <w:sz w:val="32"/>
          <w:szCs w:val="28"/>
        </w:rPr>
      </w:pPr>
    </w:p>
    <w:p>
      <w:pPr>
        <w:jc w:val="center"/>
        <w:rPr>
          <w:b/>
          <w:sz w:val="32"/>
          <w:szCs w:val="28"/>
        </w:rPr>
      </w:pPr>
      <w:r>
        <w:rPr>
          <w:rFonts w:hint="eastAsia"/>
          <w:b/>
          <w:sz w:val="32"/>
          <w:szCs w:val="28"/>
        </w:rPr>
        <w:t>2021年4月30日</w:t>
      </w:r>
    </w:p>
    <w:p>
      <w:pPr>
        <w:jc w:val="center"/>
        <w:rPr>
          <w:b/>
          <w:sz w:val="32"/>
          <w:szCs w:val="28"/>
        </w:rPr>
      </w:pPr>
    </w:p>
    <w:p>
      <w:pPr>
        <w:pStyle w:val="3"/>
      </w:pPr>
      <w:bookmarkStart w:id="0" w:name="_Toc2843"/>
    </w:p>
    <w:p>
      <w:pPr>
        <w:pStyle w:val="3"/>
      </w:pPr>
    </w:p>
    <w:p>
      <w:pPr>
        <w:pStyle w:val="3"/>
      </w:pPr>
      <w:r>
        <w:rPr>
          <w:rFonts w:hint="eastAsia"/>
        </w:rPr>
        <w:t>报告概述</w:t>
      </w:r>
      <w:bookmarkEnd w:id="0"/>
    </w:p>
    <w:p>
      <w:pPr>
        <w:ind w:firstLine="480" w:firstLineChars="200"/>
        <w:rPr>
          <w:rFonts w:ascii="宋体" w:hAnsi="宋体"/>
          <w:sz w:val="24"/>
          <w:szCs w:val="22"/>
        </w:rPr>
      </w:pPr>
      <w:r>
        <w:rPr>
          <w:rFonts w:hint="eastAsia" w:ascii="宋体" w:hAnsi="宋体"/>
          <w:sz w:val="24"/>
          <w:szCs w:val="22"/>
        </w:rPr>
        <w:t xml:space="preserve">此报告为无锡荣成环保科技有限公司第一份对外公开发布的《社会责任报告》。本报告参照GRI（全球报告倡议组织）《可持续发展报告指南》（G3版）、中国社科院《中国企业社会责任报告编写指南》，并结合无锡荣成对社会责任的独特理解和无锡荣成的具体实践编写而成。 </w:t>
      </w:r>
    </w:p>
    <w:p>
      <w:pPr>
        <w:pStyle w:val="3"/>
      </w:pPr>
      <w:bookmarkStart w:id="1" w:name="_Toc15045"/>
      <w:r>
        <w:rPr>
          <w:rFonts w:hint="eastAsia"/>
        </w:rPr>
        <w:t>报告范围</w:t>
      </w:r>
      <w:bookmarkEnd w:id="1"/>
    </w:p>
    <w:p>
      <w:pPr>
        <w:autoSpaceDN w:val="0"/>
        <w:spacing w:before="150" w:after="150" w:line="378" w:lineRule="atLeast"/>
        <w:ind w:firstLine="420"/>
        <w:rPr>
          <w:rFonts w:ascii="宋体" w:hAnsi="宋体"/>
          <w:sz w:val="24"/>
          <w:szCs w:val="22"/>
        </w:rPr>
      </w:pPr>
      <w:r>
        <w:rPr>
          <w:rFonts w:hint="eastAsia" w:ascii="宋体" w:hAnsi="宋体"/>
          <w:sz w:val="24"/>
          <w:szCs w:val="22"/>
        </w:rPr>
        <w:t>除非有特殊说明，本报告主要描述20</w:t>
      </w:r>
      <w:r>
        <w:rPr>
          <w:rFonts w:ascii="宋体" w:hAnsi="宋体"/>
          <w:sz w:val="24"/>
          <w:szCs w:val="22"/>
        </w:rPr>
        <w:t>20</w:t>
      </w:r>
      <w:r>
        <w:rPr>
          <w:rFonts w:hint="eastAsia" w:ascii="宋体" w:hAnsi="宋体"/>
          <w:sz w:val="24"/>
          <w:szCs w:val="22"/>
        </w:rPr>
        <w:t xml:space="preserve">年1月1日至2020年12月31日期间无锡荣成环保科技有限公司在公司运营、内控管理、发展规划、供应链、人才建设等方面的工作，报告内容涵盖了公司所有在营业务。 </w:t>
      </w: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r>
        <w:rPr>
          <w:rFonts w:hint="eastAsia" w:ascii="宋体" w:hAnsi="宋体"/>
          <w:sz w:val="24"/>
          <w:szCs w:val="22"/>
        </w:rPr>
        <w:t>无锡荣成环保科技有限公司</w:t>
      </w:r>
      <w:r>
        <w:rPr>
          <w:rFonts w:hint="eastAsia" w:ascii="宋体" w:hAnsi="宋体"/>
          <w:sz w:val="24"/>
          <w:szCs w:val="21"/>
        </w:rPr>
        <w:t xml:space="preserve"> </w:t>
      </w:r>
    </w:p>
    <w:p>
      <w:pPr>
        <w:autoSpaceDN w:val="0"/>
        <w:spacing w:before="150" w:after="150" w:line="378" w:lineRule="atLeast"/>
        <w:rPr>
          <w:rFonts w:ascii="宋体" w:hAnsi="宋体"/>
          <w:sz w:val="24"/>
          <w:szCs w:val="21"/>
        </w:rPr>
      </w:pPr>
      <w:r>
        <w:rPr>
          <w:rFonts w:hint="eastAsia" w:ascii="宋体" w:hAnsi="宋体"/>
          <w:sz w:val="24"/>
          <w:szCs w:val="21"/>
        </w:rPr>
        <w:t xml:space="preserve">中国 江苏省 无锡市 惠山区 洛社镇中兴西路43号  </w:t>
      </w:r>
    </w:p>
    <w:p>
      <w:pPr>
        <w:autoSpaceDN w:val="0"/>
        <w:spacing w:before="150" w:after="150" w:line="378" w:lineRule="atLeast"/>
        <w:rPr>
          <w:rFonts w:ascii="宋体" w:hAnsi="宋体"/>
          <w:sz w:val="24"/>
          <w:szCs w:val="21"/>
        </w:rPr>
      </w:pPr>
      <w:r>
        <w:rPr>
          <w:rFonts w:hint="eastAsia" w:ascii="宋体" w:hAnsi="宋体"/>
          <w:sz w:val="24"/>
          <w:szCs w:val="21"/>
        </w:rPr>
        <w:t>邮政编码：214187</w:t>
      </w:r>
    </w:p>
    <w:p>
      <w:pPr>
        <w:autoSpaceDN w:val="0"/>
        <w:spacing w:before="150" w:after="150" w:line="378" w:lineRule="atLeast"/>
        <w:rPr>
          <w:rFonts w:ascii="宋体" w:hAnsi="宋体"/>
          <w:sz w:val="24"/>
          <w:szCs w:val="21"/>
        </w:rPr>
      </w:pPr>
      <w:r>
        <w:rPr>
          <w:rFonts w:hint="eastAsia" w:ascii="宋体" w:hAnsi="宋体"/>
          <w:sz w:val="24"/>
          <w:szCs w:val="21"/>
        </w:rPr>
        <w:t>电话：</w:t>
      </w:r>
      <w:r>
        <w:rPr>
          <w:rFonts w:ascii="宋体" w:hAnsi="宋体"/>
          <w:sz w:val="24"/>
          <w:szCs w:val="21"/>
        </w:rPr>
        <w:t>051</w:t>
      </w:r>
      <w:r>
        <w:rPr>
          <w:rFonts w:hint="eastAsia" w:ascii="宋体" w:hAnsi="宋体"/>
          <w:sz w:val="24"/>
          <w:szCs w:val="21"/>
        </w:rPr>
        <w:t>0-83316666</w:t>
      </w:r>
    </w:p>
    <w:p>
      <w:pPr>
        <w:autoSpaceDN w:val="0"/>
        <w:spacing w:before="150" w:after="150" w:line="378" w:lineRule="atLeast"/>
        <w:rPr>
          <w:rFonts w:ascii="宋体" w:hAnsi="宋体"/>
          <w:sz w:val="24"/>
          <w:szCs w:val="21"/>
        </w:rPr>
      </w:pPr>
      <w:r>
        <w:rPr>
          <w:rFonts w:hint="eastAsia" w:ascii="宋体" w:hAnsi="宋体"/>
          <w:sz w:val="24"/>
          <w:szCs w:val="21"/>
        </w:rPr>
        <w:t>传真：0510</w:t>
      </w:r>
      <w:r>
        <w:rPr>
          <w:rFonts w:ascii="宋体" w:hAnsi="宋体"/>
          <w:sz w:val="24"/>
          <w:szCs w:val="21"/>
        </w:rPr>
        <w:t>-</w:t>
      </w:r>
      <w:r>
        <w:rPr>
          <w:rFonts w:hint="eastAsia" w:ascii="宋体" w:hAnsi="宋体"/>
          <w:sz w:val="24"/>
          <w:szCs w:val="21"/>
        </w:rPr>
        <w:t>83311826</w:t>
      </w:r>
    </w:p>
    <w:p>
      <w:pPr>
        <w:autoSpaceDN w:val="0"/>
        <w:spacing w:before="150" w:after="150" w:line="378" w:lineRule="atLeast"/>
        <w:rPr>
          <w:rFonts w:ascii="宋体" w:hAnsi="宋体"/>
          <w:sz w:val="24"/>
          <w:szCs w:val="21"/>
        </w:rPr>
      </w:pPr>
      <w:r>
        <w:rPr>
          <w:rFonts w:hint="eastAsia" w:ascii="宋体" w:hAnsi="宋体"/>
          <w:sz w:val="24"/>
          <w:szCs w:val="21"/>
        </w:rPr>
        <w:t>电子邮件：z0134@longchengreentech.com</w:t>
      </w: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pStyle w:val="3"/>
        <w:jc w:val="center"/>
      </w:pPr>
    </w:p>
    <w:p>
      <w:pPr>
        <w:pStyle w:val="3"/>
        <w:jc w:val="center"/>
      </w:pPr>
      <w:bookmarkStart w:id="2" w:name="_Toc28871"/>
      <w:r>
        <w:rPr>
          <w:rFonts w:hint="eastAsia"/>
        </w:rPr>
        <w:t>目   录</w:t>
      </w:r>
      <w:bookmarkEnd w:id="2"/>
    </w:p>
    <w:p/>
    <w:p>
      <w:pPr>
        <w:pStyle w:val="17"/>
        <w:tabs>
          <w:tab w:val="right" w:leader="dot" w:pos="8306"/>
        </w:tabs>
        <w:jc w:val="center"/>
        <w:rPr>
          <w:b/>
          <w:bCs/>
          <w:sz w:val="24"/>
          <w:szCs w:val="24"/>
        </w:rPr>
      </w:pPr>
      <w:r>
        <w:rPr>
          <w:rFonts w:hint="eastAsia"/>
          <w:sz w:val="24"/>
          <w:szCs w:val="24"/>
        </w:rPr>
        <w:fldChar w:fldCharType="begin"/>
      </w:r>
      <w:r>
        <w:rPr>
          <w:rFonts w:hint="eastAsia"/>
          <w:sz w:val="24"/>
          <w:szCs w:val="24"/>
        </w:rPr>
        <w:instrText xml:space="preserve">TOC \o "1-3" \h  \u </w:instrText>
      </w:r>
      <w:r>
        <w:rPr>
          <w:rFonts w:hint="eastAsia"/>
          <w:sz w:val="24"/>
          <w:szCs w:val="24"/>
        </w:rPr>
        <w:fldChar w:fldCharType="separate"/>
      </w:r>
      <w:r>
        <w:fldChar w:fldCharType="begin"/>
      </w:r>
      <w:r>
        <w:instrText xml:space="preserve"> HYPERLINK \l "_Toc2843" </w:instrText>
      </w:r>
      <w:r>
        <w:fldChar w:fldCharType="separate"/>
      </w:r>
      <w:r>
        <w:rPr>
          <w:rFonts w:hint="eastAsia"/>
          <w:b/>
          <w:bCs/>
          <w:sz w:val="24"/>
          <w:szCs w:val="24"/>
        </w:rPr>
        <w:t>报告概述</w:t>
      </w:r>
      <w:r>
        <w:rPr>
          <w:b/>
          <w:bCs/>
          <w:sz w:val="24"/>
          <w:szCs w:val="24"/>
        </w:rPr>
        <w:tab/>
      </w:r>
      <w:r>
        <w:rPr>
          <w:b/>
          <w:bCs/>
          <w:sz w:val="24"/>
          <w:szCs w:val="24"/>
        </w:rPr>
        <w:fldChar w:fldCharType="begin"/>
      </w:r>
      <w:r>
        <w:rPr>
          <w:b/>
          <w:bCs/>
          <w:sz w:val="24"/>
          <w:szCs w:val="24"/>
        </w:rPr>
        <w:instrText xml:space="preserve"> PAGEREF _Toc2843 </w:instrText>
      </w:r>
      <w:r>
        <w:rPr>
          <w:b/>
          <w:bCs/>
          <w:sz w:val="24"/>
          <w:szCs w:val="24"/>
        </w:rPr>
        <w:fldChar w:fldCharType="separate"/>
      </w:r>
      <w:r>
        <w:rPr>
          <w:b/>
          <w:bCs/>
          <w:sz w:val="24"/>
          <w:szCs w:val="24"/>
        </w:rPr>
        <w:t>2</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"_Toc15045" </w:instrText>
      </w:r>
      <w:r>
        <w:fldChar w:fldCharType="separate"/>
      </w:r>
      <w:r>
        <w:rPr>
          <w:rFonts w:hint="eastAsia"/>
          <w:b/>
          <w:bCs/>
          <w:sz w:val="24"/>
          <w:szCs w:val="24"/>
        </w:rPr>
        <w:t>报告范围</w:t>
      </w:r>
      <w:r>
        <w:rPr>
          <w:b/>
          <w:bCs/>
          <w:sz w:val="24"/>
          <w:szCs w:val="24"/>
        </w:rPr>
        <w:tab/>
      </w:r>
      <w:r>
        <w:rPr>
          <w:b/>
          <w:bCs/>
          <w:sz w:val="24"/>
          <w:szCs w:val="24"/>
        </w:rPr>
        <w:fldChar w:fldCharType="begin"/>
      </w:r>
      <w:r>
        <w:rPr>
          <w:b/>
          <w:bCs/>
          <w:sz w:val="24"/>
          <w:szCs w:val="24"/>
        </w:rPr>
        <w:instrText xml:space="preserve"> PAGEREF _Toc15045 </w:instrText>
      </w:r>
      <w:r>
        <w:rPr>
          <w:b/>
          <w:bCs/>
          <w:sz w:val="24"/>
          <w:szCs w:val="24"/>
        </w:rPr>
        <w:fldChar w:fldCharType="separate"/>
      </w:r>
      <w:r>
        <w:rPr>
          <w:b/>
          <w:bCs/>
          <w:sz w:val="24"/>
          <w:szCs w:val="24"/>
        </w:rPr>
        <w:t>2</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"_Toc28871" </w:instrText>
      </w:r>
      <w:r>
        <w:fldChar w:fldCharType="separate"/>
      </w:r>
      <w:r>
        <w:rPr>
          <w:rFonts w:hint="eastAsia"/>
          <w:b/>
          <w:bCs/>
          <w:sz w:val="24"/>
          <w:szCs w:val="24"/>
        </w:rPr>
        <w:t>目   录</w:t>
      </w:r>
      <w:r>
        <w:rPr>
          <w:b/>
          <w:bCs/>
          <w:sz w:val="24"/>
          <w:szCs w:val="24"/>
        </w:rPr>
        <w:tab/>
      </w:r>
      <w:r>
        <w:rPr>
          <w:b/>
          <w:bCs/>
          <w:sz w:val="24"/>
          <w:szCs w:val="24"/>
        </w:rPr>
        <w:fldChar w:fldCharType="begin"/>
      </w:r>
      <w:r>
        <w:rPr>
          <w:b/>
          <w:bCs/>
          <w:sz w:val="24"/>
          <w:szCs w:val="24"/>
        </w:rPr>
        <w:instrText xml:space="preserve"> PAGEREF _Toc28871 </w:instrText>
      </w:r>
      <w:r>
        <w:rPr>
          <w:b/>
          <w:bCs/>
          <w:sz w:val="24"/>
          <w:szCs w:val="24"/>
        </w:rPr>
        <w:fldChar w:fldCharType="separate"/>
      </w:r>
      <w:r>
        <w:rPr>
          <w:b/>
          <w:bCs/>
          <w:sz w:val="24"/>
          <w:szCs w:val="24"/>
        </w:rPr>
        <w:t>3</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"_Toc20659" </w:instrText>
      </w:r>
      <w:r>
        <w:fldChar w:fldCharType="separate"/>
      </w:r>
      <w:r>
        <w:rPr>
          <w:b/>
          <w:bCs/>
          <w:sz w:val="24"/>
          <w:szCs w:val="24"/>
        </w:rPr>
        <w:t>一</w:t>
      </w:r>
      <w:r>
        <w:rPr>
          <w:rFonts w:hint="eastAsia" w:ascii="Arial" w:hAnsi="Arial" w:eastAsia="黑体"/>
          <w:b/>
          <w:bCs/>
          <w:sz w:val="24"/>
          <w:szCs w:val="24"/>
        </w:rPr>
        <w:t xml:space="preserve">、 </w:t>
      </w:r>
      <w:r>
        <w:rPr>
          <w:rFonts w:hint="eastAsia"/>
          <w:b/>
          <w:bCs/>
          <w:sz w:val="24"/>
          <w:szCs w:val="24"/>
        </w:rPr>
        <w:t>公司简介：</w:t>
      </w:r>
      <w:r>
        <w:rPr>
          <w:b/>
          <w:bCs/>
          <w:sz w:val="24"/>
          <w:szCs w:val="24"/>
        </w:rPr>
        <w:tab/>
      </w:r>
      <w:r>
        <w:rPr>
          <w:b/>
          <w:bCs/>
          <w:sz w:val="24"/>
          <w:szCs w:val="24"/>
        </w:rPr>
        <w:fldChar w:fldCharType="begin"/>
      </w:r>
      <w:r>
        <w:rPr>
          <w:b/>
          <w:bCs/>
          <w:sz w:val="24"/>
          <w:szCs w:val="24"/>
        </w:rPr>
        <w:instrText xml:space="preserve"> PAGEREF _Toc20659 </w:instrText>
      </w:r>
      <w:r>
        <w:rPr>
          <w:b/>
          <w:bCs/>
          <w:sz w:val="24"/>
          <w:szCs w:val="24"/>
        </w:rPr>
        <w:fldChar w:fldCharType="separate"/>
      </w:r>
      <w:r>
        <w:rPr>
          <w:b/>
          <w:bCs/>
          <w:sz w:val="24"/>
          <w:szCs w:val="24"/>
        </w:rPr>
        <w:t>4</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"_Toc30794" </w:instrText>
      </w:r>
      <w:r>
        <w:fldChar w:fldCharType="separate"/>
      </w:r>
      <w:r>
        <w:rPr>
          <w:b/>
          <w:bCs/>
          <w:sz w:val="24"/>
          <w:szCs w:val="24"/>
        </w:rPr>
        <w:t>二</w:t>
      </w:r>
      <w:r>
        <w:rPr>
          <w:rFonts w:hint="eastAsia" w:ascii="Arial" w:hAnsi="Arial" w:eastAsia="黑体"/>
          <w:b/>
          <w:bCs/>
          <w:sz w:val="24"/>
          <w:szCs w:val="24"/>
        </w:rPr>
        <w:t xml:space="preserve">、 </w:t>
      </w:r>
      <w:r>
        <w:rPr>
          <w:rFonts w:hint="eastAsia"/>
          <w:b/>
          <w:bCs/>
          <w:sz w:val="24"/>
          <w:szCs w:val="24"/>
        </w:rPr>
        <w:t>经营状况：</w:t>
      </w:r>
      <w:r>
        <w:rPr>
          <w:b/>
          <w:bCs/>
          <w:sz w:val="24"/>
          <w:szCs w:val="24"/>
        </w:rPr>
        <w:tab/>
      </w:r>
      <w:r>
        <w:rPr>
          <w:b/>
          <w:bCs/>
          <w:sz w:val="24"/>
          <w:szCs w:val="24"/>
        </w:rPr>
        <w:fldChar w:fldCharType="begin"/>
      </w:r>
      <w:r>
        <w:rPr>
          <w:b/>
          <w:bCs/>
          <w:sz w:val="24"/>
          <w:szCs w:val="24"/>
        </w:rPr>
        <w:instrText xml:space="preserve"> PAGEREF _Toc30794 </w:instrText>
      </w:r>
      <w:r>
        <w:rPr>
          <w:b/>
          <w:bCs/>
          <w:sz w:val="24"/>
          <w:szCs w:val="24"/>
        </w:rPr>
        <w:fldChar w:fldCharType="separate"/>
      </w:r>
      <w:r>
        <w:rPr>
          <w:b/>
          <w:bCs/>
          <w:sz w:val="24"/>
          <w:szCs w:val="24"/>
        </w:rPr>
        <w:t>5</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"_Toc994" </w:instrText>
      </w:r>
      <w:r>
        <w:fldChar w:fldCharType="separate"/>
      </w:r>
      <w:r>
        <w:rPr>
          <w:b/>
          <w:bCs/>
          <w:sz w:val="24"/>
          <w:szCs w:val="24"/>
        </w:rPr>
        <w:t>三</w:t>
      </w:r>
      <w:r>
        <w:rPr>
          <w:rFonts w:hint="eastAsia" w:ascii="Arial" w:hAnsi="Arial" w:eastAsia="黑体"/>
          <w:b/>
          <w:bCs/>
          <w:sz w:val="24"/>
          <w:szCs w:val="24"/>
        </w:rPr>
        <w:t xml:space="preserve">、 </w:t>
      </w:r>
      <w:r>
        <w:rPr>
          <w:rFonts w:hint="eastAsia"/>
          <w:b/>
          <w:bCs/>
          <w:sz w:val="24"/>
          <w:szCs w:val="24"/>
        </w:rPr>
        <w:t>组织架构图:</w:t>
      </w:r>
      <w:r>
        <w:rPr>
          <w:b/>
          <w:bCs/>
          <w:sz w:val="24"/>
          <w:szCs w:val="24"/>
        </w:rPr>
        <w:tab/>
      </w:r>
      <w:r>
        <w:rPr>
          <w:b/>
          <w:bCs/>
          <w:sz w:val="24"/>
          <w:szCs w:val="24"/>
        </w:rPr>
        <w:fldChar w:fldCharType="begin"/>
      </w:r>
      <w:r>
        <w:rPr>
          <w:b/>
          <w:bCs/>
          <w:sz w:val="24"/>
          <w:szCs w:val="24"/>
        </w:rPr>
        <w:instrText xml:space="preserve"> PAGEREF _Toc994 </w:instrText>
      </w:r>
      <w:r>
        <w:rPr>
          <w:b/>
          <w:bCs/>
          <w:sz w:val="24"/>
          <w:szCs w:val="24"/>
        </w:rPr>
        <w:fldChar w:fldCharType="separate"/>
      </w:r>
      <w:r>
        <w:rPr>
          <w:b/>
          <w:bCs/>
          <w:sz w:val="24"/>
          <w:szCs w:val="24"/>
        </w:rPr>
        <w:t>5</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"_Toc4272" </w:instrText>
      </w:r>
      <w:r>
        <w:fldChar w:fldCharType="separate"/>
      </w:r>
      <w:r>
        <w:rPr>
          <w:b/>
          <w:bCs/>
          <w:sz w:val="24"/>
          <w:szCs w:val="24"/>
        </w:rPr>
        <w:t>四</w:t>
      </w:r>
      <w:r>
        <w:rPr>
          <w:rFonts w:hint="eastAsia" w:ascii="Arial" w:hAnsi="Arial" w:eastAsia="黑体"/>
          <w:b/>
          <w:bCs/>
          <w:sz w:val="24"/>
          <w:szCs w:val="24"/>
        </w:rPr>
        <w:t xml:space="preserve">、 </w:t>
      </w:r>
      <w:r>
        <w:rPr>
          <w:rFonts w:hint="eastAsia"/>
          <w:b/>
          <w:bCs/>
          <w:sz w:val="24"/>
          <w:szCs w:val="24"/>
        </w:rPr>
        <w:t>技术创新</w:t>
      </w:r>
      <w:r>
        <w:rPr>
          <w:b/>
          <w:bCs/>
          <w:sz w:val="24"/>
          <w:szCs w:val="24"/>
        </w:rPr>
        <w:tab/>
      </w:r>
      <w:r>
        <w:rPr>
          <w:b/>
          <w:bCs/>
          <w:sz w:val="24"/>
          <w:szCs w:val="24"/>
        </w:rPr>
        <w:fldChar w:fldCharType="begin"/>
      </w:r>
      <w:r>
        <w:rPr>
          <w:b/>
          <w:bCs/>
          <w:sz w:val="24"/>
          <w:szCs w:val="24"/>
        </w:rPr>
        <w:instrText xml:space="preserve"> PAGEREF _Toc4272 </w:instrText>
      </w:r>
      <w:r>
        <w:rPr>
          <w:b/>
          <w:bCs/>
          <w:sz w:val="24"/>
          <w:szCs w:val="24"/>
        </w:rPr>
        <w:fldChar w:fldCharType="separate"/>
      </w:r>
      <w:r>
        <w:rPr>
          <w:b/>
          <w:bCs/>
          <w:sz w:val="24"/>
          <w:szCs w:val="24"/>
        </w:rPr>
        <w:t>6</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rPr>
          <w:rFonts w:hint="eastAsia"/>
          <w:b/>
          <w:bCs/>
          <w:sz w:val="24"/>
          <w:szCs w:val="24"/>
        </w:rPr>
        <w:t xml:space="preserve">    </w:t>
      </w:r>
      <w:r>
        <w:fldChar w:fldCharType="begin"/>
      </w:r>
      <w:r>
        <w:instrText xml:space="preserve"> HYPERLINK \l "_Toc30580" </w:instrText>
      </w:r>
      <w:r>
        <w:fldChar w:fldCharType="separate"/>
      </w:r>
      <w:r>
        <w:rPr>
          <w:b/>
          <w:bCs/>
          <w:sz w:val="24"/>
          <w:szCs w:val="24"/>
        </w:rPr>
        <w:t xml:space="preserve">1． </w:t>
      </w:r>
      <w:r>
        <w:rPr>
          <w:rFonts w:hint="eastAsia"/>
          <w:b/>
          <w:bCs/>
          <w:sz w:val="24"/>
          <w:szCs w:val="24"/>
        </w:rPr>
        <w:t>技术创新及智能车间建设情况：</w:t>
      </w:r>
      <w:r>
        <w:rPr>
          <w:b/>
          <w:bCs/>
          <w:sz w:val="24"/>
          <w:szCs w:val="24"/>
        </w:rPr>
        <w:tab/>
      </w:r>
      <w:r>
        <w:rPr>
          <w:b/>
          <w:bCs/>
          <w:sz w:val="24"/>
          <w:szCs w:val="24"/>
        </w:rPr>
        <w:fldChar w:fldCharType="begin"/>
      </w:r>
      <w:r>
        <w:rPr>
          <w:b/>
          <w:bCs/>
          <w:sz w:val="24"/>
          <w:szCs w:val="24"/>
        </w:rPr>
        <w:instrText xml:space="preserve"> PAGEREF _Toc30580 </w:instrText>
      </w:r>
      <w:r>
        <w:rPr>
          <w:b/>
          <w:bCs/>
          <w:sz w:val="24"/>
          <w:szCs w:val="24"/>
        </w:rPr>
        <w:fldChar w:fldCharType="separate"/>
      </w:r>
      <w:r>
        <w:rPr>
          <w:b/>
          <w:bCs/>
          <w:sz w:val="24"/>
          <w:szCs w:val="24"/>
        </w:rPr>
        <w:t>6</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rPr>
          <w:rFonts w:hint="eastAsia"/>
          <w:b/>
          <w:bCs/>
          <w:sz w:val="24"/>
          <w:szCs w:val="24"/>
        </w:rPr>
        <w:t xml:space="preserve">    </w:t>
      </w:r>
      <w:r>
        <w:fldChar w:fldCharType="begin"/>
      </w:r>
      <w:r>
        <w:instrText xml:space="preserve"> HYPERLINK \l "_Toc2001" </w:instrText>
      </w:r>
      <w:r>
        <w:fldChar w:fldCharType="separate"/>
      </w:r>
      <w:r>
        <w:rPr>
          <w:b/>
          <w:bCs/>
          <w:sz w:val="24"/>
          <w:szCs w:val="24"/>
        </w:rPr>
        <w:t xml:space="preserve">2． </w:t>
      </w:r>
      <w:r>
        <w:rPr>
          <w:rFonts w:hint="eastAsia"/>
          <w:b/>
          <w:bCs/>
          <w:sz w:val="24"/>
          <w:szCs w:val="24"/>
        </w:rPr>
        <w:t>研发团队建立</w:t>
      </w:r>
      <w:r>
        <w:rPr>
          <w:b/>
          <w:bCs/>
          <w:sz w:val="24"/>
          <w:szCs w:val="24"/>
        </w:rPr>
        <w:tab/>
      </w:r>
      <w:r>
        <w:rPr>
          <w:b/>
          <w:bCs/>
          <w:sz w:val="24"/>
          <w:szCs w:val="24"/>
        </w:rPr>
        <w:fldChar w:fldCharType="begin"/>
      </w:r>
      <w:r>
        <w:rPr>
          <w:b/>
          <w:bCs/>
          <w:sz w:val="24"/>
          <w:szCs w:val="24"/>
        </w:rPr>
        <w:instrText xml:space="preserve"> PAGEREF _Toc2001 </w:instrText>
      </w:r>
      <w:r>
        <w:rPr>
          <w:b/>
          <w:bCs/>
          <w:sz w:val="24"/>
          <w:szCs w:val="24"/>
        </w:rPr>
        <w:fldChar w:fldCharType="separate"/>
      </w:r>
      <w:r>
        <w:rPr>
          <w:b/>
          <w:bCs/>
          <w:sz w:val="24"/>
          <w:szCs w:val="24"/>
        </w:rPr>
        <w:t>6</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"_Toc1072" </w:instrText>
      </w:r>
      <w:r>
        <w:fldChar w:fldCharType="separate"/>
      </w:r>
      <w:r>
        <w:rPr>
          <w:b/>
          <w:bCs/>
          <w:sz w:val="24"/>
          <w:szCs w:val="24"/>
        </w:rPr>
        <w:t xml:space="preserve">3． </w:t>
      </w:r>
      <w:r>
        <w:rPr>
          <w:rFonts w:hint="eastAsia"/>
          <w:b/>
          <w:bCs/>
          <w:sz w:val="24"/>
          <w:szCs w:val="24"/>
        </w:rPr>
        <w:t>知识产权工作</w:t>
      </w:r>
      <w:r>
        <w:rPr>
          <w:b/>
          <w:bCs/>
          <w:sz w:val="24"/>
          <w:szCs w:val="24"/>
        </w:rPr>
        <w:tab/>
      </w:r>
      <w:r>
        <w:rPr>
          <w:b/>
          <w:bCs/>
          <w:sz w:val="24"/>
          <w:szCs w:val="24"/>
        </w:rPr>
        <w:fldChar w:fldCharType="begin"/>
      </w:r>
      <w:r>
        <w:rPr>
          <w:b/>
          <w:bCs/>
          <w:sz w:val="24"/>
          <w:szCs w:val="24"/>
        </w:rPr>
        <w:instrText xml:space="preserve"> PAGEREF _Toc1072 </w:instrText>
      </w:r>
      <w:r>
        <w:rPr>
          <w:b/>
          <w:bCs/>
          <w:sz w:val="24"/>
          <w:szCs w:val="24"/>
        </w:rPr>
        <w:fldChar w:fldCharType="separate"/>
      </w:r>
      <w:r>
        <w:rPr>
          <w:b/>
          <w:bCs/>
          <w:sz w:val="24"/>
          <w:szCs w:val="24"/>
        </w:rPr>
        <w:t>6</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"_Toc21597" </w:instrText>
      </w:r>
      <w:r>
        <w:fldChar w:fldCharType="separate"/>
      </w:r>
      <w:r>
        <w:rPr>
          <w:b/>
          <w:bCs/>
          <w:sz w:val="24"/>
          <w:szCs w:val="24"/>
        </w:rPr>
        <w:t>五</w:t>
      </w:r>
      <w:r>
        <w:rPr>
          <w:rFonts w:hint="eastAsia" w:ascii="Arial" w:hAnsi="Arial" w:eastAsia="黑体"/>
          <w:b/>
          <w:bCs/>
          <w:sz w:val="24"/>
          <w:szCs w:val="24"/>
        </w:rPr>
        <w:t xml:space="preserve">、 </w:t>
      </w:r>
      <w:r>
        <w:rPr>
          <w:rFonts w:hint="eastAsia"/>
          <w:b/>
          <w:bCs/>
          <w:sz w:val="24"/>
          <w:szCs w:val="24"/>
        </w:rPr>
        <w:t>信用建设</w:t>
      </w:r>
      <w:r>
        <w:rPr>
          <w:b/>
          <w:bCs/>
          <w:sz w:val="24"/>
          <w:szCs w:val="24"/>
        </w:rPr>
        <w:tab/>
      </w:r>
      <w:r>
        <w:rPr>
          <w:b/>
          <w:bCs/>
          <w:sz w:val="24"/>
          <w:szCs w:val="24"/>
        </w:rPr>
        <w:fldChar w:fldCharType="begin"/>
      </w:r>
      <w:r>
        <w:rPr>
          <w:b/>
          <w:bCs/>
          <w:sz w:val="24"/>
          <w:szCs w:val="24"/>
        </w:rPr>
        <w:instrText xml:space="preserve"> PAGEREF _Toc21597 </w:instrText>
      </w:r>
      <w:r>
        <w:rPr>
          <w:b/>
          <w:bCs/>
          <w:sz w:val="24"/>
          <w:szCs w:val="24"/>
        </w:rPr>
        <w:fldChar w:fldCharType="separate"/>
      </w:r>
      <w:r>
        <w:rPr>
          <w:b/>
          <w:bCs/>
          <w:sz w:val="24"/>
          <w:szCs w:val="24"/>
        </w:rPr>
        <w:t>7</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"_Toc27369" </w:instrText>
      </w:r>
      <w:r>
        <w:fldChar w:fldCharType="separate"/>
      </w:r>
      <w:r>
        <w:rPr>
          <w:b/>
          <w:bCs/>
          <w:sz w:val="24"/>
          <w:szCs w:val="24"/>
        </w:rPr>
        <w:t>六</w:t>
      </w:r>
      <w:r>
        <w:rPr>
          <w:rFonts w:hint="eastAsia" w:ascii="Arial" w:hAnsi="Arial" w:eastAsia="黑体"/>
          <w:b/>
          <w:bCs/>
          <w:sz w:val="24"/>
          <w:szCs w:val="24"/>
        </w:rPr>
        <w:t xml:space="preserve">、 </w:t>
      </w:r>
      <w:r>
        <w:rPr>
          <w:rFonts w:hint="eastAsia"/>
          <w:b/>
          <w:bCs/>
          <w:sz w:val="24"/>
          <w:szCs w:val="24"/>
        </w:rPr>
        <w:t>环保节约</w:t>
      </w:r>
      <w:r>
        <w:rPr>
          <w:b/>
          <w:bCs/>
          <w:sz w:val="24"/>
          <w:szCs w:val="24"/>
        </w:rPr>
        <w:tab/>
      </w:r>
      <w:r>
        <w:rPr>
          <w:b/>
          <w:bCs/>
          <w:sz w:val="24"/>
          <w:szCs w:val="24"/>
        </w:rPr>
        <w:fldChar w:fldCharType="begin"/>
      </w:r>
      <w:r>
        <w:rPr>
          <w:b/>
          <w:bCs/>
          <w:sz w:val="24"/>
          <w:szCs w:val="24"/>
        </w:rPr>
        <w:instrText xml:space="preserve"> PAGEREF _Toc27369 </w:instrText>
      </w:r>
      <w:r>
        <w:rPr>
          <w:b/>
          <w:bCs/>
          <w:sz w:val="24"/>
          <w:szCs w:val="24"/>
        </w:rPr>
        <w:fldChar w:fldCharType="separate"/>
      </w:r>
      <w:r>
        <w:rPr>
          <w:b/>
          <w:bCs/>
          <w:sz w:val="24"/>
          <w:szCs w:val="24"/>
        </w:rPr>
        <w:t>7</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"_Toc19767" </w:instrText>
      </w:r>
      <w:r>
        <w:fldChar w:fldCharType="separate"/>
      </w:r>
      <w:r>
        <w:rPr>
          <w:b/>
          <w:bCs/>
          <w:sz w:val="24"/>
          <w:szCs w:val="24"/>
        </w:rPr>
        <w:t xml:space="preserve">1、 </w:t>
      </w:r>
      <w:r>
        <w:rPr>
          <w:rFonts w:hint="eastAsia"/>
          <w:b/>
          <w:bCs/>
          <w:sz w:val="24"/>
          <w:szCs w:val="24"/>
        </w:rPr>
        <w:t>环境管理</w:t>
      </w:r>
      <w:r>
        <w:rPr>
          <w:b/>
          <w:bCs/>
          <w:sz w:val="24"/>
          <w:szCs w:val="24"/>
        </w:rPr>
        <w:tab/>
      </w:r>
      <w:r>
        <w:rPr>
          <w:b/>
          <w:bCs/>
          <w:sz w:val="24"/>
          <w:szCs w:val="24"/>
        </w:rPr>
        <w:fldChar w:fldCharType="begin"/>
      </w:r>
      <w:r>
        <w:rPr>
          <w:b/>
          <w:bCs/>
          <w:sz w:val="24"/>
          <w:szCs w:val="24"/>
        </w:rPr>
        <w:instrText xml:space="preserve"> PAGEREF _Toc19767 </w:instrText>
      </w:r>
      <w:r>
        <w:rPr>
          <w:b/>
          <w:bCs/>
          <w:sz w:val="24"/>
          <w:szCs w:val="24"/>
        </w:rPr>
        <w:fldChar w:fldCharType="separate"/>
      </w:r>
      <w:r>
        <w:rPr>
          <w:b/>
          <w:bCs/>
          <w:sz w:val="24"/>
          <w:szCs w:val="24"/>
        </w:rPr>
        <w:t>7</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"_Toc17131" </w:instrText>
      </w:r>
      <w:r>
        <w:fldChar w:fldCharType="separate"/>
      </w:r>
      <w:r>
        <w:rPr>
          <w:b/>
          <w:bCs/>
          <w:sz w:val="24"/>
          <w:szCs w:val="24"/>
        </w:rPr>
        <w:t xml:space="preserve">2、 </w:t>
      </w:r>
      <w:r>
        <w:rPr>
          <w:rFonts w:hint="eastAsia"/>
          <w:b/>
          <w:bCs/>
          <w:sz w:val="24"/>
          <w:szCs w:val="24"/>
        </w:rPr>
        <w:t>资源节约与综合利用</w:t>
      </w:r>
      <w:r>
        <w:rPr>
          <w:b/>
          <w:bCs/>
          <w:sz w:val="24"/>
          <w:szCs w:val="24"/>
        </w:rPr>
        <w:tab/>
      </w:r>
      <w:r>
        <w:rPr>
          <w:b/>
          <w:bCs/>
          <w:sz w:val="24"/>
          <w:szCs w:val="24"/>
        </w:rPr>
        <w:fldChar w:fldCharType="begin"/>
      </w:r>
      <w:r>
        <w:rPr>
          <w:b/>
          <w:bCs/>
          <w:sz w:val="24"/>
          <w:szCs w:val="24"/>
        </w:rPr>
        <w:instrText xml:space="preserve"> PAGEREF _Toc17131 </w:instrText>
      </w:r>
      <w:r>
        <w:rPr>
          <w:b/>
          <w:bCs/>
          <w:sz w:val="24"/>
          <w:szCs w:val="24"/>
        </w:rPr>
        <w:fldChar w:fldCharType="separate"/>
      </w:r>
      <w:r>
        <w:rPr>
          <w:b/>
          <w:bCs/>
          <w:sz w:val="24"/>
          <w:szCs w:val="24"/>
        </w:rPr>
        <w:t>9</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"_Toc8359" </w:instrText>
      </w:r>
      <w:r>
        <w:fldChar w:fldCharType="separate"/>
      </w:r>
      <w:r>
        <w:rPr>
          <w:b/>
          <w:bCs/>
          <w:sz w:val="24"/>
          <w:szCs w:val="24"/>
        </w:rPr>
        <w:t>七</w:t>
      </w:r>
      <w:r>
        <w:rPr>
          <w:rFonts w:hint="eastAsia" w:ascii="Arial" w:hAnsi="Arial" w:eastAsia="黑体"/>
          <w:b/>
          <w:bCs/>
          <w:sz w:val="24"/>
          <w:szCs w:val="24"/>
        </w:rPr>
        <w:t xml:space="preserve">、 </w:t>
      </w:r>
      <w:r>
        <w:rPr>
          <w:rFonts w:hint="eastAsia"/>
          <w:b/>
          <w:bCs/>
          <w:sz w:val="24"/>
          <w:szCs w:val="24"/>
        </w:rPr>
        <w:t>安全生产</w:t>
      </w:r>
      <w:r>
        <w:rPr>
          <w:b/>
          <w:bCs/>
          <w:sz w:val="24"/>
          <w:szCs w:val="24"/>
        </w:rPr>
        <w:tab/>
      </w:r>
      <w:r>
        <w:rPr>
          <w:b/>
          <w:bCs/>
          <w:sz w:val="24"/>
          <w:szCs w:val="24"/>
        </w:rPr>
        <w:fldChar w:fldCharType="begin"/>
      </w:r>
      <w:r>
        <w:rPr>
          <w:b/>
          <w:bCs/>
          <w:sz w:val="24"/>
          <w:szCs w:val="24"/>
        </w:rPr>
        <w:instrText xml:space="preserve"> PAGEREF _Toc8359 </w:instrText>
      </w:r>
      <w:r>
        <w:rPr>
          <w:b/>
          <w:bCs/>
          <w:sz w:val="24"/>
          <w:szCs w:val="24"/>
        </w:rPr>
        <w:fldChar w:fldCharType="separate"/>
      </w:r>
      <w:r>
        <w:rPr>
          <w:b/>
          <w:bCs/>
          <w:sz w:val="24"/>
          <w:szCs w:val="24"/>
        </w:rPr>
        <w:t>9</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"_Toc19676" </w:instrText>
      </w:r>
      <w:r>
        <w:fldChar w:fldCharType="separate"/>
      </w:r>
      <w:r>
        <w:rPr>
          <w:b/>
          <w:bCs/>
          <w:sz w:val="24"/>
          <w:szCs w:val="24"/>
        </w:rPr>
        <w:t xml:space="preserve">1、 </w:t>
      </w:r>
      <w:r>
        <w:rPr>
          <w:rFonts w:hint="eastAsia"/>
          <w:b/>
          <w:bCs/>
          <w:sz w:val="24"/>
          <w:szCs w:val="24"/>
        </w:rPr>
        <w:t>安全生产管理</w:t>
      </w:r>
      <w:r>
        <w:rPr>
          <w:b/>
          <w:bCs/>
          <w:sz w:val="24"/>
          <w:szCs w:val="24"/>
        </w:rPr>
        <w:tab/>
      </w:r>
      <w:r>
        <w:rPr>
          <w:b/>
          <w:bCs/>
          <w:sz w:val="24"/>
          <w:szCs w:val="24"/>
        </w:rPr>
        <w:fldChar w:fldCharType="begin"/>
      </w:r>
      <w:r>
        <w:rPr>
          <w:b/>
          <w:bCs/>
          <w:sz w:val="24"/>
          <w:szCs w:val="24"/>
        </w:rPr>
        <w:instrText xml:space="preserve"> PAGEREF _Toc19676 </w:instrText>
      </w:r>
      <w:r>
        <w:rPr>
          <w:b/>
          <w:bCs/>
          <w:sz w:val="24"/>
          <w:szCs w:val="24"/>
        </w:rPr>
        <w:fldChar w:fldCharType="separate"/>
      </w:r>
      <w:r>
        <w:rPr>
          <w:b/>
          <w:bCs/>
          <w:sz w:val="24"/>
          <w:szCs w:val="24"/>
        </w:rPr>
        <w:t>9</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"_Toc12850" </w:instrText>
      </w:r>
      <w:r>
        <w:fldChar w:fldCharType="separate"/>
      </w:r>
      <w:r>
        <w:rPr>
          <w:b/>
          <w:bCs/>
          <w:sz w:val="24"/>
          <w:szCs w:val="24"/>
        </w:rPr>
        <w:t xml:space="preserve">2、 </w:t>
      </w:r>
      <w:r>
        <w:rPr>
          <w:rFonts w:hint="eastAsia"/>
          <w:b/>
          <w:bCs/>
          <w:sz w:val="24"/>
          <w:szCs w:val="24"/>
        </w:rPr>
        <w:t>安全生产投入</w:t>
      </w:r>
      <w:r>
        <w:rPr>
          <w:b/>
          <w:bCs/>
          <w:sz w:val="24"/>
          <w:szCs w:val="24"/>
        </w:rPr>
        <w:tab/>
      </w:r>
      <w:r>
        <w:rPr>
          <w:b/>
          <w:bCs/>
          <w:sz w:val="24"/>
          <w:szCs w:val="24"/>
        </w:rPr>
        <w:fldChar w:fldCharType="begin"/>
      </w:r>
      <w:r>
        <w:rPr>
          <w:b/>
          <w:bCs/>
          <w:sz w:val="24"/>
          <w:szCs w:val="24"/>
        </w:rPr>
        <w:instrText xml:space="preserve"> PAGEREF _Toc12850 </w:instrText>
      </w:r>
      <w:r>
        <w:rPr>
          <w:b/>
          <w:bCs/>
          <w:sz w:val="24"/>
          <w:szCs w:val="24"/>
        </w:rPr>
        <w:fldChar w:fldCharType="separate"/>
      </w:r>
      <w:r>
        <w:rPr>
          <w:b/>
          <w:bCs/>
          <w:sz w:val="24"/>
          <w:szCs w:val="24"/>
        </w:rPr>
        <w:t>10</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"_Toc21953" </w:instrText>
      </w:r>
      <w:r>
        <w:fldChar w:fldCharType="separate"/>
      </w:r>
      <w:r>
        <w:rPr>
          <w:b/>
          <w:bCs/>
          <w:sz w:val="24"/>
          <w:szCs w:val="24"/>
        </w:rPr>
        <w:t xml:space="preserve">3、 </w:t>
      </w:r>
      <w:r>
        <w:rPr>
          <w:rFonts w:hint="eastAsia"/>
          <w:b/>
          <w:bCs/>
          <w:sz w:val="24"/>
          <w:szCs w:val="24"/>
        </w:rPr>
        <w:t>安全生产工作</w:t>
      </w:r>
      <w:r>
        <w:rPr>
          <w:b/>
          <w:bCs/>
          <w:sz w:val="24"/>
          <w:szCs w:val="24"/>
        </w:rPr>
        <w:tab/>
      </w:r>
      <w:r>
        <w:rPr>
          <w:b/>
          <w:bCs/>
          <w:sz w:val="24"/>
          <w:szCs w:val="24"/>
        </w:rPr>
        <w:fldChar w:fldCharType="begin"/>
      </w:r>
      <w:r>
        <w:rPr>
          <w:b/>
          <w:bCs/>
          <w:sz w:val="24"/>
          <w:szCs w:val="24"/>
        </w:rPr>
        <w:instrText xml:space="preserve"> PAGEREF _Toc21953 </w:instrText>
      </w:r>
      <w:r>
        <w:rPr>
          <w:b/>
          <w:bCs/>
          <w:sz w:val="24"/>
          <w:szCs w:val="24"/>
        </w:rPr>
        <w:fldChar w:fldCharType="separate"/>
      </w:r>
      <w:r>
        <w:rPr>
          <w:b/>
          <w:bCs/>
          <w:sz w:val="24"/>
          <w:szCs w:val="24"/>
        </w:rPr>
        <w:t>10</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"_Toc31766" </w:instrText>
      </w:r>
      <w:r>
        <w:fldChar w:fldCharType="separate"/>
      </w:r>
      <w:r>
        <w:rPr>
          <w:b/>
          <w:bCs/>
          <w:sz w:val="24"/>
          <w:szCs w:val="24"/>
        </w:rPr>
        <w:t>八</w:t>
      </w:r>
      <w:r>
        <w:rPr>
          <w:rFonts w:hint="eastAsia" w:ascii="Arial" w:hAnsi="Arial" w:eastAsia="黑体"/>
          <w:b/>
          <w:bCs/>
          <w:sz w:val="24"/>
          <w:szCs w:val="24"/>
        </w:rPr>
        <w:t xml:space="preserve">、 </w:t>
      </w:r>
      <w:r>
        <w:rPr>
          <w:rFonts w:hint="eastAsia"/>
          <w:b/>
          <w:bCs/>
          <w:sz w:val="24"/>
          <w:szCs w:val="24"/>
        </w:rPr>
        <w:t>员工</w:t>
      </w:r>
      <w:r>
        <w:rPr>
          <w:b/>
          <w:bCs/>
          <w:sz w:val="24"/>
          <w:szCs w:val="24"/>
        </w:rPr>
        <w:tab/>
      </w:r>
      <w:r>
        <w:rPr>
          <w:b/>
          <w:bCs/>
          <w:sz w:val="24"/>
          <w:szCs w:val="24"/>
        </w:rPr>
        <w:fldChar w:fldCharType="begin"/>
      </w:r>
      <w:r>
        <w:rPr>
          <w:b/>
          <w:bCs/>
          <w:sz w:val="24"/>
          <w:szCs w:val="24"/>
        </w:rPr>
        <w:instrText xml:space="preserve"> PAGEREF _Toc31766 </w:instrText>
      </w:r>
      <w:r>
        <w:rPr>
          <w:b/>
          <w:bCs/>
          <w:sz w:val="24"/>
          <w:szCs w:val="24"/>
        </w:rPr>
        <w:fldChar w:fldCharType="separate"/>
      </w:r>
      <w:r>
        <w:rPr>
          <w:b/>
          <w:bCs/>
          <w:sz w:val="24"/>
          <w:szCs w:val="24"/>
        </w:rPr>
        <w:t>10</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"_Toc29438" </w:instrText>
      </w:r>
      <w:r>
        <w:fldChar w:fldCharType="separate"/>
      </w:r>
      <w:r>
        <w:rPr>
          <w:b/>
          <w:bCs/>
          <w:sz w:val="24"/>
          <w:szCs w:val="24"/>
        </w:rPr>
        <w:t xml:space="preserve">1、 </w:t>
      </w:r>
      <w:r>
        <w:rPr>
          <w:rFonts w:hint="eastAsia"/>
          <w:b/>
          <w:bCs/>
          <w:sz w:val="24"/>
          <w:szCs w:val="24"/>
        </w:rPr>
        <w:t>劳动合同与薪酬</w:t>
      </w:r>
      <w:r>
        <w:rPr>
          <w:b/>
          <w:bCs/>
          <w:sz w:val="24"/>
          <w:szCs w:val="24"/>
        </w:rPr>
        <w:tab/>
      </w:r>
      <w:r>
        <w:rPr>
          <w:b/>
          <w:bCs/>
          <w:sz w:val="24"/>
          <w:szCs w:val="24"/>
        </w:rPr>
        <w:fldChar w:fldCharType="begin"/>
      </w:r>
      <w:r>
        <w:rPr>
          <w:b/>
          <w:bCs/>
          <w:sz w:val="24"/>
          <w:szCs w:val="24"/>
        </w:rPr>
        <w:instrText xml:space="preserve"> PAGEREF _Toc29438 </w:instrText>
      </w:r>
      <w:r>
        <w:rPr>
          <w:b/>
          <w:bCs/>
          <w:sz w:val="24"/>
          <w:szCs w:val="24"/>
        </w:rPr>
        <w:fldChar w:fldCharType="separate"/>
      </w:r>
      <w:r>
        <w:rPr>
          <w:b/>
          <w:bCs/>
          <w:sz w:val="24"/>
          <w:szCs w:val="24"/>
        </w:rPr>
        <w:t>10</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"_Toc14780" </w:instrText>
      </w:r>
      <w:r>
        <w:fldChar w:fldCharType="separate"/>
      </w:r>
      <w:r>
        <w:rPr>
          <w:b/>
          <w:bCs/>
          <w:sz w:val="24"/>
          <w:szCs w:val="24"/>
        </w:rPr>
        <w:t xml:space="preserve">2、 </w:t>
      </w:r>
      <w:r>
        <w:rPr>
          <w:rFonts w:hint="eastAsia"/>
          <w:b/>
          <w:bCs/>
          <w:sz w:val="24"/>
          <w:szCs w:val="24"/>
        </w:rPr>
        <w:t>社会保障</w:t>
      </w:r>
      <w:r>
        <w:rPr>
          <w:b/>
          <w:bCs/>
          <w:sz w:val="24"/>
          <w:szCs w:val="24"/>
        </w:rPr>
        <w:tab/>
      </w:r>
      <w:r>
        <w:rPr>
          <w:b/>
          <w:bCs/>
          <w:sz w:val="24"/>
          <w:szCs w:val="24"/>
        </w:rPr>
        <w:fldChar w:fldCharType="begin"/>
      </w:r>
      <w:r>
        <w:rPr>
          <w:b/>
          <w:bCs/>
          <w:sz w:val="24"/>
          <w:szCs w:val="24"/>
        </w:rPr>
        <w:instrText xml:space="preserve"> PAGEREF _Toc14780 </w:instrText>
      </w:r>
      <w:r>
        <w:rPr>
          <w:b/>
          <w:bCs/>
          <w:sz w:val="24"/>
          <w:szCs w:val="24"/>
        </w:rPr>
        <w:fldChar w:fldCharType="separate"/>
      </w:r>
      <w:r>
        <w:rPr>
          <w:b/>
          <w:bCs/>
          <w:sz w:val="24"/>
          <w:szCs w:val="24"/>
        </w:rPr>
        <w:t>11</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"_Toc26512" </w:instrText>
      </w:r>
      <w:r>
        <w:fldChar w:fldCharType="separate"/>
      </w:r>
      <w:r>
        <w:rPr>
          <w:b/>
          <w:bCs/>
          <w:sz w:val="24"/>
          <w:szCs w:val="24"/>
        </w:rPr>
        <w:t xml:space="preserve">3、 </w:t>
      </w:r>
      <w:r>
        <w:rPr>
          <w:rFonts w:hint="eastAsia"/>
          <w:b/>
          <w:bCs/>
          <w:sz w:val="24"/>
          <w:szCs w:val="24"/>
        </w:rPr>
        <w:t>员工福利</w:t>
      </w:r>
      <w:r>
        <w:rPr>
          <w:b/>
          <w:bCs/>
          <w:sz w:val="24"/>
          <w:szCs w:val="24"/>
        </w:rPr>
        <w:tab/>
      </w:r>
      <w:r>
        <w:rPr>
          <w:b/>
          <w:bCs/>
          <w:sz w:val="24"/>
          <w:szCs w:val="24"/>
        </w:rPr>
        <w:fldChar w:fldCharType="begin"/>
      </w:r>
      <w:r>
        <w:rPr>
          <w:b/>
          <w:bCs/>
          <w:sz w:val="24"/>
          <w:szCs w:val="24"/>
        </w:rPr>
        <w:instrText xml:space="preserve"> PAGEREF _Toc26512 </w:instrText>
      </w:r>
      <w:r>
        <w:rPr>
          <w:b/>
          <w:bCs/>
          <w:sz w:val="24"/>
          <w:szCs w:val="24"/>
        </w:rPr>
        <w:fldChar w:fldCharType="separate"/>
      </w:r>
      <w:r>
        <w:rPr>
          <w:b/>
          <w:bCs/>
          <w:sz w:val="24"/>
          <w:szCs w:val="24"/>
        </w:rPr>
        <w:t>11</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"_Toc2715" </w:instrText>
      </w:r>
      <w:r>
        <w:fldChar w:fldCharType="separate"/>
      </w:r>
      <w:r>
        <w:rPr>
          <w:b/>
          <w:bCs/>
          <w:sz w:val="24"/>
          <w:szCs w:val="24"/>
        </w:rPr>
        <w:t xml:space="preserve">4、 </w:t>
      </w:r>
      <w:r>
        <w:rPr>
          <w:rFonts w:hint="eastAsia"/>
          <w:b/>
          <w:bCs/>
          <w:sz w:val="24"/>
          <w:szCs w:val="24"/>
        </w:rPr>
        <w:t>民主管理</w:t>
      </w:r>
      <w:r>
        <w:rPr>
          <w:b/>
          <w:bCs/>
          <w:sz w:val="24"/>
          <w:szCs w:val="24"/>
        </w:rPr>
        <w:tab/>
      </w:r>
      <w:r>
        <w:rPr>
          <w:b/>
          <w:bCs/>
          <w:sz w:val="24"/>
          <w:szCs w:val="24"/>
        </w:rPr>
        <w:fldChar w:fldCharType="begin"/>
      </w:r>
      <w:r>
        <w:rPr>
          <w:b/>
          <w:bCs/>
          <w:sz w:val="24"/>
          <w:szCs w:val="24"/>
        </w:rPr>
        <w:instrText xml:space="preserve"> PAGEREF _Toc2715 </w:instrText>
      </w:r>
      <w:r>
        <w:rPr>
          <w:b/>
          <w:bCs/>
          <w:sz w:val="24"/>
          <w:szCs w:val="24"/>
        </w:rPr>
        <w:fldChar w:fldCharType="separate"/>
      </w:r>
      <w:r>
        <w:rPr>
          <w:b/>
          <w:bCs/>
          <w:sz w:val="24"/>
          <w:szCs w:val="24"/>
        </w:rPr>
        <w:t>11</w:t>
      </w:r>
      <w:r>
        <w:rPr>
          <w:b/>
          <w:bCs/>
          <w:sz w:val="24"/>
          <w:szCs w:val="24"/>
        </w:rPr>
        <w:fldChar w:fldCharType="end"/>
      </w:r>
      <w:r>
        <w:rPr>
          <w:b/>
          <w:bCs/>
          <w:sz w:val="24"/>
          <w:szCs w:val="24"/>
        </w:rPr>
        <w:fldChar w:fldCharType="end"/>
      </w:r>
    </w:p>
    <w:p>
      <w:pPr>
        <w:pStyle w:val="8"/>
        <w:tabs>
          <w:tab w:val="right" w:leader="dot" w:pos="8306"/>
        </w:tabs>
        <w:jc w:val="center"/>
        <w:rPr>
          <w:b/>
          <w:bCs/>
          <w:sz w:val="24"/>
          <w:szCs w:val="24"/>
        </w:rPr>
      </w:pPr>
      <w:r>
        <w:fldChar w:fldCharType="begin"/>
      </w:r>
      <w:r>
        <w:instrText xml:space="preserve"> HYPERLINK \l "_Toc17359" </w:instrText>
      </w:r>
      <w:r>
        <w:fldChar w:fldCharType="separate"/>
      </w:r>
      <w:r>
        <w:rPr>
          <w:b/>
          <w:bCs/>
          <w:sz w:val="24"/>
          <w:szCs w:val="24"/>
        </w:rPr>
        <w:t xml:space="preserve">5、 </w:t>
      </w:r>
      <w:r>
        <w:rPr>
          <w:rFonts w:hint="eastAsia"/>
          <w:b/>
          <w:bCs/>
          <w:sz w:val="24"/>
          <w:szCs w:val="24"/>
        </w:rPr>
        <w:t>员工培训和发展</w:t>
      </w:r>
      <w:r>
        <w:rPr>
          <w:b/>
          <w:bCs/>
          <w:sz w:val="24"/>
          <w:szCs w:val="24"/>
        </w:rPr>
        <w:tab/>
      </w:r>
      <w:r>
        <w:rPr>
          <w:b/>
          <w:bCs/>
          <w:sz w:val="24"/>
          <w:szCs w:val="24"/>
        </w:rPr>
        <w:fldChar w:fldCharType="begin"/>
      </w:r>
      <w:r>
        <w:rPr>
          <w:b/>
          <w:bCs/>
          <w:sz w:val="24"/>
          <w:szCs w:val="24"/>
        </w:rPr>
        <w:instrText xml:space="preserve"> PAGEREF _Toc17359 </w:instrText>
      </w:r>
      <w:r>
        <w:rPr>
          <w:b/>
          <w:bCs/>
          <w:sz w:val="24"/>
          <w:szCs w:val="24"/>
        </w:rPr>
        <w:fldChar w:fldCharType="separate"/>
      </w:r>
      <w:r>
        <w:rPr>
          <w:b/>
          <w:bCs/>
          <w:sz w:val="24"/>
          <w:szCs w:val="24"/>
        </w:rPr>
        <w:t>12</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"_Toc31080" </w:instrText>
      </w:r>
      <w:r>
        <w:fldChar w:fldCharType="separate"/>
      </w:r>
      <w:r>
        <w:rPr>
          <w:b/>
          <w:bCs/>
          <w:sz w:val="24"/>
          <w:szCs w:val="24"/>
        </w:rPr>
        <w:t>九</w:t>
      </w:r>
      <w:r>
        <w:rPr>
          <w:rFonts w:hint="eastAsia" w:ascii="Arial" w:hAnsi="Arial" w:eastAsia="黑体"/>
          <w:b/>
          <w:bCs/>
          <w:sz w:val="24"/>
          <w:szCs w:val="24"/>
        </w:rPr>
        <w:t xml:space="preserve">、 </w:t>
      </w:r>
      <w:r>
        <w:rPr>
          <w:rFonts w:hint="eastAsia"/>
          <w:b/>
          <w:bCs/>
          <w:sz w:val="24"/>
          <w:szCs w:val="24"/>
        </w:rPr>
        <w:t>质量/环境/职业健康安全</w:t>
      </w:r>
      <w:r>
        <w:rPr>
          <w:b/>
          <w:bCs/>
          <w:sz w:val="24"/>
          <w:szCs w:val="24"/>
        </w:rPr>
        <w:tab/>
      </w:r>
      <w:r>
        <w:rPr>
          <w:b/>
          <w:bCs/>
          <w:sz w:val="24"/>
          <w:szCs w:val="24"/>
        </w:rPr>
        <w:fldChar w:fldCharType="begin"/>
      </w:r>
      <w:r>
        <w:rPr>
          <w:b/>
          <w:bCs/>
          <w:sz w:val="24"/>
          <w:szCs w:val="24"/>
        </w:rPr>
        <w:instrText xml:space="preserve"> PAGEREF _Toc31080 </w:instrText>
      </w:r>
      <w:r>
        <w:rPr>
          <w:b/>
          <w:bCs/>
          <w:sz w:val="24"/>
          <w:szCs w:val="24"/>
        </w:rPr>
        <w:fldChar w:fldCharType="separate"/>
      </w:r>
      <w:r>
        <w:rPr>
          <w:b/>
          <w:bCs/>
          <w:sz w:val="24"/>
          <w:szCs w:val="24"/>
        </w:rPr>
        <w:t>13</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fldChar w:fldCharType="begin"/>
      </w:r>
      <w:r>
        <w:instrText xml:space="preserve"> HYPERLINK \l "_Toc18422" </w:instrText>
      </w:r>
      <w:r>
        <w:fldChar w:fldCharType="separate"/>
      </w:r>
      <w:r>
        <w:rPr>
          <w:b/>
          <w:bCs/>
          <w:sz w:val="24"/>
          <w:szCs w:val="24"/>
        </w:rPr>
        <w:t>十</w:t>
      </w:r>
      <w:r>
        <w:rPr>
          <w:rFonts w:hint="eastAsia" w:ascii="宋体" w:hAnsi="宋体"/>
          <w:b/>
          <w:bCs/>
          <w:sz w:val="24"/>
          <w:szCs w:val="24"/>
        </w:rPr>
        <w:t>、 社会关怀</w:t>
      </w:r>
      <w:r>
        <w:rPr>
          <w:b/>
          <w:bCs/>
          <w:sz w:val="24"/>
          <w:szCs w:val="24"/>
        </w:rPr>
        <w:tab/>
      </w:r>
      <w:r>
        <w:rPr>
          <w:b/>
          <w:bCs/>
          <w:sz w:val="24"/>
          <w:szCs w:val="24"/>
        </w:rPr>
        <w:fldChar w:fldCharType="begin"/>
      </w:r>
      <w:r>
        <w:rPr>
          <w:b/>
          <w:bCs/>
          <w:sz w:val="24"/>
          <w:szCs w:val="24"/>
        </w:rPr>
        <w:instrText xml:space="preserve"> PAGEREF _Toc18422 </w:instrText>
      </w:r>
      <w:r>
        <w:rPr>
          <w:b/>
          <w:bCs/>
          <w:sz w:val="24"/>
          <w:szCs w:val="24"/>
        </w:rPr>
        <w:fldChar w:fldCharType="separate"/>
      </w:r>
      <w:r>
        <w:rPr>
          <w:b/>
          <w:bCs/>
          <w:sz w:val="24"/>
          <w:szCs w:val="24"/>
        </w:rPr>
        <w:t>18</w:t>
      </w:r>
      <w:r>
        <w:rPr>
          <w:b/>
          <w:bCs/>
          <w:sz w:val="24"/>
          <w:szCs w:val="24"/>
        </w:rPr>
        <w:fldChar w:fldCharType="end"/>
      </w:r>
      <w:r>
        <w:rPr>
          <w:b/>
          <w:bCs/>
          <w:sz w:val="24"/>
          <w:szCs w:val="24"/>
        </w:rPr>
        <w:fldChar w:fldCharType="end"/>
      </w:r>
    </w:p>
    <w:p>
      <w:pPr>
        <w:pStyle w:val="17"/>
        <w:tabs>
          <w:tab w:val="right" w:leader="dot" w:pos="8306"/>
        </w:tabs>
        <w:jc w:val="center"/>
        <w:rPr>
          <w:b/>
          <w:bCs/>
          <w:sz w:val="24"/>
          <w:szCs w:val="24"/>
        </w:rPr>
      </w:pPr>
      <w:r>
        <w:rPr>
          <w:rFonts w:hint="eastAsia"/>
          <w:b/>
          <w:bCs/>
          <w:sz w:val="24"/>
          <w:szCs w:val="24"/>
        </w:rPr>
        <w:t xml:space="preserve">    </w:t>
      </w:r>
      <w:r>
        <w:fldChar w:fldCharType="begin"/>
      </w:r>
      <w:r>
        <w:instrText xml:space="preserve"> HYPERLINK \l "_Toc27570" </w:instrText>
      </w:r>
      <w:r>
        <w:fldChar w:fldCharType="separate"/>
      </w:r>
      <w:r>
        <w:rPr>
          <w:b/>
          <w:bCs/>
          <w:sz w:val="24"/>
          <w:szCs w:val="24"/>
        </w:rPr>
        <w:t>1</w:t>
      </w:r>
      <w:r>
        <w:rPr>
          <w:rFonts w:ascii="宋体" w:hAnsi="宋体"/>
          <w:b/>
          <w:bCs/>
          <w:sz w:val="24"/>
          <w:szCs w:val="24"/>
        </w:rPr>
        <w:t xml:space="preserve">、 </w:t>
      </w:r>
      <w:r>
        <w:rPr>
          <w:rFonts w:hint="eastAsia" w:ascii="宋体" w:hAnsi="宋体"/>
          <w:b/>
          <w:bCs/>
          <w:sz w:val="24"/>
          <w:szCs w:val="24"/>
        </w:rPr>
        <w:t>公益捐助</w:t>
      </w:r>
      <w:r>
        <w:rPr>
          <w:b/>
          <w:bCs/>
          <w:sz w:val="24"/>
          <w:szCs w:val="24"/>
        </w:rPr>
        <w:tab/>
      </w:r>
      <w:r>
        <w:rPr>
          <w:b/>
          <w:bCs/>
          <w:sz w:val="24"/>
          <w:szCs w:val="24"/>
        </w:rPr>
        <w:fldChar w:fldCharType="begin"/>
      </w:r>
      <w:r>
        <w:rPr>
          <w:b/>
          <w:bCs/>
          <w:sz w:val="24"/>
          <w:szCs w:val="24"/>
        </w:rPr>
        <w:instrText xml:space="preserve"> PAGEREF _Toc27570 </w:instrText>
      </w:r>
      <w:r>
        <w:rPr>
          <w:b/>
          <w:bCs/>
          <w:sz w:val="24"/>
          <w:szCs w:val="24"/>
        </w:rPr>
        <w:fldChar w:fldCharType="separate"/>
      </w:r>
      <w:r>
        <w:rPr>
          <w:b/>
          <w:bCs/>
          <w:sz w:val="24"/>
          <w:szCs w:val="24"/>
        </w:rPr>
        <w:t>18</w:t>
      </w:r>
      <w:r>
        <w:rPr>
          <w:b/>
          <w:bCs/>
          <w:sz w:val="24"/>
          <w:szCs w:val="24"/>
        </w:rPr>
        <w:fldChar w:fldCharType="end"/>
      </w:r>
      <w:r>
        <w:rPr>
          <w:b/>
          <w:bCs/>
          <w:sz w:val="24"/>
          <w:szCs w:val="24"/>
        </w:rPr>
        <w:fldChar w:fldCharType="end"/>
      </w:r>
    </w:p>
    <w:p>
      <w:pPr>
        <w:pStyle w:val="17"/>
        <w:tabs>
          <w:tab w:val="right" w:leader="dot" w:pos="8306"/>
        </w:tabs>
        <w:jc w:val="center"/>
        <w:rPr>
          <w:sz w:val="24"/>
          <w:szCs w:val="24"/>
        </w:rPr>
      </w:pPr>
      <w:r>
        <w:rPr>
          <w:rFonts w:hint="eastAsia"/>
          <w:b/>
          <w:bCs/>
          <w:sz w:val="24"/>
          <w:szCs w:val="24"/>
        </w:rPr>
        <w:t xml:space="preserve">    </w:t>
      </w:r>
      <w:r>
        <w:fldChar w:fldCharType="begin"/>
      </w:r>
      <w:r>
        <w:instrText xml:space="preserve"> HYPERLINK \l "_Toc697" </w:instrText>
      </w:r>
      <w:r>
        <w:fldChar w:fldCharType="separate"/>
      </w:r>
      <w:r>
        <w:rPr>
          <w:b/>
          <w:bCs/>
          <w:sz w:val="24"/>
          <w:szCs w:val="24"/>
        </w:rPr>
        <w:t>2</w:t>
      </w:r>
      <w:r>
        <w:rPr>
          <w:rFonts w:ascii="宋体" w:hAnsi="宋体"/>
          <w:b/>
          <w:bCs/>
          <w:sz w:val="24"/>
          <w:szCs w:val="24"/>
        </w:rPr>
        <w:t xml:space="preserve">、 </w:t>
      </w:r>
      <w:r>
        <w:rPr>
          <w:rFonts w:hint="eastAsia" w:ascii="宋体" w:hAnsi="宋体"/>
          <w:b/>
          <w:bCs/>
          <w:sz w:val="24"/>
          <w:szCs w:val="24"/>
        </w:rPr>
        <w:t>公益活动</w:t>
      </w:r>
      <w:r>
        <w:rPr>
          <w:b/>
          <w:bCs/>
          <w:sz w:val="24"/>
          <w:szCs w:val="24"/>
        </w:rPr>
        <w:tab/>
      </w:r>
      <w:r>
        <w:rPr>
          <w:b/>
          <w:bCs/>
          <w:sz w:val="24"/>
          <w:szCs w:val="24"/>
        </w:rPr>
        <w:fldChar w:fldCharType="begin"/>
      </w:r>
      <w:r>
        <w:rPr>
          <w:b/>
          <w:bCs/>
          <w:sz w:val="24"/>
          <w:szCs w:val="24"/>
        </w:rPr>
        <w:instrText xml:space="preserve"> PAGEREF _Toc697 </w:instrText>
      </w:r>
      <w:r>
        <w:rPr>
          <w:b/>
          <w:bCs/>
          <w:sz w:val="24"/>
          <w:szCs w:val="24"/>
        </w:rPr>
        <w:fldChar w:fldCharType="separate"/>
      </w:r>
      <w:r>
        <w:rPr>
          <w:b/>
          <w:bCs/>
          <w:sz w:val="24"/>
          <w:szCs w:val="24"/>
        </w:rPr>
        <w:t>19</w:t>
      </w:r>
      <w:r>
        <w:rPr>
          <w:b/>
          <w:bCs/>
          <w:sz w:val="24"/>
          <w:szCs w:val="24"/>
        </w:rPr>
        <w:fldChar w:fldCharType="end"/>
      </w:r>
      <w:r>
        <w:rPr>
          <w:b/>
          <w:bCs/>
          <w:sz w:val="24"/>
          <w:szCs w:val="24"/>
        </w:rPr>
        <w:fldChar w:fldCharType="end"/>
      </w:r>
    </w:p>
    <w:p>
      <w:pPr>
        <w:pStyle w:val="8"/>
        <w:tabs>
          <w:tab w:val="right" w:leader="dot" w:pos="8296"/>
        </w:tabs>
        <w:ind w:left="0" w:leftChars="0"/>
        <w:jc w:val="center"/>
        <w:rPr>
          <w:rFonts w:ascii="Calibri" w:hAnsi="Calibri" w:cs="黑体"/>
          <w:b/>
          <w:sz w:val="24"/>
          <w:szCs w:val="24"/>
        </w:rPr>
      </w:pPr>
      <w:r>
        <w:rPr>
          <w:rFonts w:hint="eastAsia"/>
          <w:sz w:val="24"/>
          <w:szCs w:val="24"/>
        </w:rPr>
        <w:fldChar w:fldCharType="end"/>
      </w:r>
    </w:p>
    <w:p/>
    <w:p/>
    <w:p/>
    <w:p/>
    <w:p/>
    <w:p/>
    <w:p/>
    <w:p/>
    <w:p>
      <w:pPr>
        <w:pStyle w:val="3"/>
        <w:ind w:left="420"/>
        <w:jc w:val="left"/>
      </w:pPr>
      <w:bookmarkStart w:id="3" w:name="_Toc20659"/>
    </w:p>
    <w:p>
      <w:pPr>
        <w:pStyle w:val="3"/>
        <w:numPr>
          <w:ilvl w:val="0"/>
          <w:numId w:val="1"/>
        </w:numPr>
        <w:jc w:val="left"/>
      </w:pPr>
      <w:r>
        <w:rPr>
          <w:rFonts w:hint="eastAsia"/>
        </w:rPr>
        <w:t>公司简介</w:t>
      </w:r>
      <w:bookmarkEnd w:id="3"/>
    </w:p>
    <w:p>
      <w:pPr>
        <w:tabs>
          <w:tab w:val="left" w:pos="9900"/>
        </w:tabs>
        <w:spacing w:line="540" w:lineRule="exact"/>
        <w:ind w:firstLine="480" w:firstLineChars="200"/>
        <w:rPr>
          <w:rFonts w:ascii="宋体" w:hAnsi="宋体"/>
          <w:sz w:val="24"/>
          <w:szCs w:val="24"/>
        </w:rPr>
      </w:pPr>
      <w:r>
        <w:rPr>
          <w:rFonts w:hint="eastAsia" w:ascii="宋体" w:hAnsi="宋体"/>
          <w:sz w:val="24"/>
          <w:szCs w:val="24"/>
        </w:rPr>
        <w:t>无锡荣成环保科技有限公司</w:t>
      </w:r>
      <w:r>
        <w:rPr>
          <w:rFonts w:hint="eastAsia" w:ascii="宋体" w:hAnsi="宋体" w:cs="宋体"/>
          <w:sz w:val="24"/>
          <w:szCs w:val="24"/>
        </w:rPr>
        <w:t>（2015年7月30日由无锡荣成纸业有限公司更名而来）</w:t>
      </w:r>
      <w:r>
        <w:rPr>
          <w:rFonts w:hint="eastAsia" w:ascii="宋体" w:hAnsi="宋体"/>
          <w:sz w:val="24"/>
          <w:szCs w:val="24"/>
        </w:rPr>
        <w:t>成立于1997年，由台湾荣成纸业股份公司和无锡龙达实业总公司合资而成，以资源循环利用的营运模式制造生活必需的环保纸制品，使用回收废纸作为生产原料，经由低碳造纸及绿色包装为垂直整合的服务型制造业；为企业客户提供客制化、具高附加价值的整体产品包装解决方案。</w:t>
      </w:r>
    </w:p>
    <w:p>
      <w:pPr>
        <w:tabs>
          <w:tab w:val="left" w:pos="9900"/>
        </w:tabs>
        <w:spacing w:line="540" w:lineRule="exact"/>
        <w:ind w:firstLine="480" w:firstLineChars="200"/>
        <w:rPr>
          <w:rFonts w:ascii="宋体" w:hAnsi="宋体" w:cs="宋体"/>
          <w:kern w:val="0"/>
          <w:sz w:val="24"/>
          <w:szCs w:val="24"/>
          <w:shd w:val="clear" w:color="auto" w:fill="FFFFFF"/>
        </w:rPr>
      </w:pPr>
      <w:r>
        <w:rPr>
          <w:rFonts w:hint="eastAsia" w:ascii="宋体" w:hAnsi="宋体"/>
          <w:sz w:val="24"/>
          <w:szCs w:val="24"/>
        </w:rPr>
        <w:t>公司</w:t>
      </w:r>
      <w:r>
        <w:rPr>
          <w:rFonts w:hint="eastAsia" w:ascii="宋体" w:hAnsi="宋体" w:cs="宋体"/>
          <w:sz w:val="24"/>
          <w:szCs w:val="24"/>
        </w:rPr>
        <w:t>位于无锡市惠山区洛社镇中兴西路43号，公司占地面积471亩，</w:t>
      </w:r>
      <w:r>
        <w:rPr>
          <w:rFonts w:hint="eastAsia" w:ascii="宋体" w:hAnsi="宋体"/>
          <w:sz w:val="24"/>
          <w:szCs w:val="24"/>
        </w:rPr>
        <w:t>现有员工740多人，注册资本</w:t>
      </w:r>
      <w:r>
        <w:rPr>
          <w:rFonts w:hint="eastAsia" w:ascii="宋体" w:hAnsi="宋体" w:cs="宋体"/>
          <w:sz w:val="24"/>
          <w:szCs w:val="24"/>
        </w:rPr>
        <w:t>123294万元(</w:t>
      </w:r>
      <w:r>
        <w:rPr>
          <w:rFonts w:hint="eastAsia" w:ascii="宋体" w:hAnsi="宋体"/>
          <w:sz w:val="24"/>
          <w:szCs w:val="24"/>
        </w:rPr>
        <w:t>17180万美元)，总投资额36090万美元，形成</w:t>
      </w:r>
      <w:r>
        <w:rPr>
          <w:rFonts w:hint="eastAsia" w:ascii="宋体" w:hAnsi="宋体" w:cs="宋体"/>
          <w:kern w:val="0"/>
          <w:sz w:val="24"/>
          <w:szCs w:val="24"/>
          <w:shd w:val="clear" w:color="auto" w:fill="FFFFFF"/>
        </w:rPr>
        <w:t>年生产能力90万吨，销售收入30亿元，税收超亿元的规模。</w:t>
      </w:r>
    </w:p>
    <w:p>
      <w:pPr>
        <w:tabs>
          <w:tab w:val="left" w:pos="9900"/>
        </w:tabs>
        <w:spacing w:line="540" w:lineRule="exact"/>
        <w:ind w:firstLine="480" w:firstLineChars="200"/>
        <w:rPr>
          <w:rFonts w:ascii="宋体" w:hAnsi="宋体" w:cs="宋体"/>
          <w:kern w:val="0"/>
          <w:sz w:val="24"/>
          <w:szCs w:val="24"/>
          <w:shd w:val="clear" w:color="auto" w:fill="FFFFFF"/>
        </w:rPr>
      </w:pPr>
      <w:r>
        <w:rPr>
          <w:rFonts w:hint="eastAsia" w:ascii="宋体" w:hAnsi="宋体"/>
          <w:sz w:val="24"/>
          <w:szCs w:val="24"/>
        </w:rPr>
        <w:t>公司现有四条造纸生产线，主导产品是A级、B级牛皮箱纸板和高强度瓦楞原纸，</w:t>
      </w:r>
      <w:r>
        <w:rPr>
          <w:rFonts w:hint="eastAsia" w:ascii="宋体" w:hAnsi="宋体" w:cs="宋体"/>
          <w:kern w:val="0"/>
          <w:sz w:val="24"/>
          <w:szCs w:val="24"/>
        </w:rPr>
        <w:t>并配套建有处理能力20000吨/日污水处理站和自备热电站，自备热电站运行1台45蒸吨/小时循环流化床锅炉，1台220蒸吨/小时煤粉炉，及46MW发电机组。</w:t>
      </w:r>
    </w:p>
    <w:p>
      <w:pPr>
        <w:tabs>
          <w:tab w:val="left" w:pos="9900"/>
        </w:tabs>
        <w:spacing w:line="540" w:lineRule="exact"/>
        <w:ind w:firstLine="480" w:firstLineChars="200"/>
        <w:rPr>
          <w:rFonts w:ascii="宋体" w:hAnsi="宋体" w:cs="宋体"/>
          <w:sz w:val="24"/>
          <w:szCs w:val="24"/>
        </w:rPr>
      </w:pPr>
      <w:r>
        <w:rPr>
          <w:rFonts w:hint="eastAsia" w:ascii="宋体" w:hAnsi="宋体" w:cs="宋体"/>
          <w:kern w:val="0"/>
          <w:sz w:val="24"/>
          <w:szCs w:val="24"/>
        </w:rPr>
        <w:t>公司制浆造纸生产线采用100%废纸造纸工艺，实现资源循环利用，能耗和水耗均低于同业水平。公司先后获得</w:t>
      </w:r>
      <w:r>
        <w:rPr>
          <w:rFonts w:hint="eastAsia" w:ascii="宋体" w:hAnsi="宋体" w:cs="宋体"/>
          <w:sz w:val="24"/>
          <w:szCs w:val="24"/>
          <w:shd w:val="clear" w:color="auto" w:fill="FFFFFF"/>
        </w:rPr>
        <w:t>“全国五一劳动奖状” 、</w:t>
      </w:r>
      <w:r>
        <w:rPr>
          <w:rFonts w:hint="eastAsia" w:ascii="宋体" w:hAnsi="宋体" w:cs="宋体"/>
          <w:kern w:val="0"/>
          <w:sz w:val="24"/>
          <w:szCs w:val="24"/>
        </w:rPr>
        <w:t>“江苏省工业领域能效领跑者”、“省级节水型企业”</w:t>
      </w:r>
      <w:r>
        <w:rPr>
          <w:rFonts w:hint="eastAsia" w:ascii="宋体" w:hAnsi="宋体" w:cs="宋体"/>
          <w:sz w:val="24"/>
          <w:szCs w:val="24"/>
          <w:shd w:val="clear" w:color="auto" w:fill="FFFFFF"/>
        </w:rPr>
        <w:t>、“江苏省能源计量示范单位”、“无锡市十二五节能工作先进集体”、“无锡市节水标杆企业”、“无锡市水效领跑者”等荣誉</w:t>
      </w:r>
      <w:r>
        <w:rPr>
          <w:rFonts w:hint="eastAsia" w:ascii="宋体" w:hAnsi="宋体" w:cs="宋体"/>
          <w:kern w:val="0"/>
          <w:sz w:val="24"/>
          <w:szCs w:val="24"/>
        </w:rPr>
        <w:t>。公司通过无锡市清洁生产审核验收，通过FSC森林体系认证、ISO9001质量管理体系认证、ISO14001环境管理体系认证、ISO50001能源管理体系认证、ISO45001职业健康安全管理体系认证，</w:t>
      </w:r>
      <w:r>
        <w:rPr>
          <w:rFonts w:hint="eastAsia" w:ascii="宋体" w:hAnsi="宋体" w:cs="宋体"/>
          <w:sz w:val="24"/>
          <w:szCs w:val="24"/>
          <w:shd w:val="clear" w:color="auto" w:fill="FFFFFF"/>
        </w:rPr>
        <w:t xml:space="preserve"> 2014年起至今通过“高新技术企业”认定。</w:t>
      </w:r>
    </w:p>
    <w:p>
      <w:pPr>
        <w:pStyle w:val="3"/>
        <w:ind w:left="420"/>
      </w:pPr>
      <w:bookmarkStart w:id="4" w:name="_Toc30794"/>
    </w:p>
    <w:p>
      <w:pPr>
        <w:pStyle w:val="3"/>
        <w:numPr>
          <w:ilvl w:val="0"/>
          <w:numId w:val="1"/>
        </w:numPr>
      </w:pPr>
      <w:r>
        <w:rPr>
          <w:rFonts w:hint="eastAsia"/>
        </w:rPr>
        <w:t>经营状况</w:t>
      </w:r>
      <w:bookmarkEnd w:id="4"/>
    </w:p>
    <w:p>
      <w:pPr>
        <w:spacing w:line="360" w:lineRule="auto"/>
        <w:rPr>
          <w:rFonts w:ascii="宋体" w:hAnsi="宋体"/>
          <w:b/>
          <w:sz w:val="24"/>
          <w:szCs w:val="24"/>
        </w:rPr>
      </w:pPr>
      <w:r>
        <w:rPr>
          <w:rFonts w:hint="eastAsia" w:ascii="宋体" w:hAnsi="宋体"/>
          <w:sz w:val="24"/>
          <w:szCs w:val="24"/>
        </w:rPr>
        <w:t xml:space="preserve">    基于企业使命，我们致力于执行与发展对环境友善的经营模式，</w:t>
      </w:r>
      <w:r>
        <w:rPr>
          <w:rFonts w:hint="eastAsia" w:ascii="宋体" w:hAnsi="宋体"/>
          <w:kern w:val="0"/>
          <w:sz w:val="24"/>
          <w:szCs w:val="24"/>
        </w:rPr>
        <w:t>重视企业及环境的共存共荣，为追求永续经营的理念，将企业核心竞争力建构于高效利用资源的</w:t>
      </w:r>
      <w:r>
        <w:rPr>
          <w:rFonts w:hint="eastAsia" w:ascii="宋体" w:hAnsi="宋体"/>
          <w:sz w:val="24"/>
          <w:szCs w:val="24"/>
        </w:rPr>
        <w:t>五项关键技术，包括：1、再生纤维利用的技术；2、节能生产的技术；3、节水生产的技术；4、空污、水污、减废处理的技术；5、空间利用的技术。</w:t>
      </w:r>
      <w:r>
        <w:rPr>
          <w:rFonts w:hint="eastAsia" w:ascii="宋体" w:hAnsi="宋体"/>
          <w:kern w:val="0"/>
          <w:sz w:val="24"/>
          <w:szCs w:val="24"/>
        </w:rPr>
        <w:t>不仅制程能耗、用水方面达到领先业界的水平，回收废纸做成的每公斤再生纸箱，可以为地球减少</w:t>
      </w:r>
      <w:r>
        <w:rPr>
          <w:rFonts w:ascii="宋体" w:hAnsi="宋体"/>
          <w:kern w:val="0"/>
          <w:sz w:val="24"/>
          <w:szCs w:val="24"/>
        </w:rPr>
        <w:t>5.3</w:t>
      </w:r>
      <w:r>
        <w:rPr>
          <w:rFonts w:hint="eastAsia" w:ascii="宋体" w:hAnsi="宋体"/>
          <w:kern w:val="0"/>
          <w:sz w:val="24"/>
          <w:szCs w:val="24"/>
        </w:rPr>
        <w:t>公斤二氧化碳排放。</w:t>
      </w:r>
    </w:p>
    <w:p>
      <w:pPr>
        <w:spacing w:line="360" w:lineRule="auto"/>
        <w:ind w:firstLine="480" w:firstLineChars="200"/>
        <w:jc w:val="left"/>
        <w:rPr>
          <w:rFonts w:ascii="宋体" w:hAnsi="宋体" w:cs="宋体"/>
          <w:sz w:val="24"/>
          <w:szCs w:val="24"/>
        </w:rPr>
      </w:pPr>
      <w:r>
        <w:rPr>
          <w:rFonts w:hint="eastAsia" w:ascii="宋体" w:hAnsi="宋体" w:cs="宋体"/>
          <w:color w:val="000000"/>
          <w:sz w:val="24"/>
          <w:szCs w:val="24"/>
          <w:shd w:val="clear" w:color="080000" w:fill="FFFFFF"/>
        </w:rPr>
        <w:t>2020年，公司全年产量73.25万吨，其中牛皮箱纸板53.28万吨，瓦楞原纸19.97万吨，产值23.49亿元，销售收入23.1亿元，工业增加值3.55亿元，上缴税金 2977万元</w:t>
      </w:r>
      <w:r>
        <w:rPr>
          <w:rFonts w:hint="eastAsia" w:ascii="宋体" w:hAnsi="宋体" w:cs="宋体"/>
          <w:sz w:val="24"/>
          <w:szCs w:val="24"/>
        </w:rPr>
        <w:t>。</w:t>
      </w:r>
    </w:p>
    <w:p>
      <w:pPr>
        <w:spacing w:line="360" w:lineRule="auto"/>
        <w:ind w:firstLine="480" w:firstLineChars="200"/>
        <w:jc w:val="left"/>
        <w:rPr>
          <w:rFonts w:ascii="宋体" w:hAnsi="宋体" w:cs="宋体"/>
          <w:sz w:val="24"/>
          <w:szCs w:val="24"/>
        </w:rPr>
      </w:pPr>
    </w:p>
    <w:p>
      <w:pPr>
        <w:pStyle w:val="3"/>
        <w:numPr>
          <w:ilvl w:val="0"/>
          <w:numId w:val="1"/>
        </w:numPr>
      </w:pPr>
      <w:bookmarkStart w:id="5" w:name="_Toc994"/>
      <w:r>
        <w:rPr>
          <w:rFonts w:hint="eastAsia"/>
        </w:rPr>
        <w:t>组织架构图</w:t>
      </w:r>
      <w:bookmarkEnd w:id="5"/>
    </w:p>
    <w:p>
      <w:pPr>
        <w:widowControl/>
        <w:jc w:val="left"/>
      </w:pPr>
      <w:r>
        <w:rPr>
          <w:rFonts w:hint="eastAsia"/>
        </w:rPr>
        <w:drawing>
          <wp:inline distT="0" distB="0" distL="114300" distR="114300">
            <wp:extent cx="5265420" cy="3019425"/>
            <wp:effectExtent l="0" t="0" r="11430" b="9525"/>
            <wp:docPr id="21"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无标题"/>
                    <pic:cNvPicPr>
                      <a:picLocks noChangeAspect="1"/>
                    </pic:cNvPicPr>
                  </pic:nvPicPr>
                  <pic:blipFill>
                    <a:blip r:embed="rId4">
                      <a:lum/>
                    </a:blip>
                    <a:stretch>
                      <a:fillRect/>
                    </a:stretch>
                  </pic:blipFill>
                  <pic:spPr>
                    <a:xfrm>
                      <a:off x="0" y="0"/>
                      <a:ext cx="5265420" cy="3019425"/>
                    </a:xfrm>
                    <a:prstGeom prst="rect">
                      <a:avLst/>
                    </a:prstGeom>
                    <a:noFill/>
                    <a:ln w="9525">
                      <a:noFill/>
                      <a:miter/>
                    </a:ln>
                  </pic:spPr>
                </pic:pic>
              </a:graphicData>
            </a:graphic>
          </wp:inline>
        </w:drawing>
      </w:r>
    </w:p>
    <w:p>
      <w:pPr>
        <w:rPr>
          <w:rFonts w:ascii="宋体" w:cs="宋体"/>
          <w:kern w:val="0"/>
          <w:sz w:val="18"/>
          <w:szCs w:val="18"/>
          <w:lang w:val="zh-CN"/>
        </w:rPr>
      </w:pPr>
    </w:p>
    <w:p>
      <w:pPr>
        <w:pStyle w:val="3"/>
        <w:numPr>
          <w:ilvl w:val="0"/>
          <w:numId w:val="1"/>
        </w:numPr>
      </w:pPr>
      <w:bookmarkStart w:id="6" w:name="_Toc4272"/>
      <w:r>
        <w:rPr>
          <w:rFonts w:hint="eastAsia"/>
        </w:rPr>
        <w:t>技术创新</w:t>
      </w:r>
      <w:bookmarkEnd w:id="6"/>
    </w:p>
    <w:p>
      <w:pPr>
        <w:numPr>
          <w:ilvl w:val="0"/>
          <w:numId w:val="2"/>
        </w:numPr>
        <w:spacing w:line="480" w:lineRule="exact"/>
        <w:outlineLvl w:val="1"/>
        <w:rPr>
          <w:b/>
          <w:bCs/>
          <w:sz w:val="32"/>
          <w:szCs w:val="32"/>
        </w:rPr>
      </w:pPr>
      <w:bookmarkStart w:id="7" w:name="_Toc30580"/>
      <w:r>
        <w:rPr>
          <w:rFonts w:hint="eastAsia"/>
          <w:b/>
          <w:bCs/>
          <w:sz w:val="32"/>
          <w:szCs w:val="32"/>
        </w:rPr>
        <w:t>技术创新及智能车间建设情况</w:t>
      </w:r>
      <w:bookmarkEnd w:id="7"/>
    </w:p>
    <w:p>
      <w:pPr>
        <w:spacing w:line="360" w:lineRule="auto"/>
        <w:ind w:firstLine="420"/>
        <w:jc w:val="left"/>
        <w:rPr>
          <w:rFonts w:ascii="宋体" w:hAnsi="宋体" w:cs="宋体"/>
          <w:sz w:val="24"/>
          <w:szCs w:val="24"/>
        </w:rPr>
      </w:pPr>
      <w:r>
        <w:rPr>
          <w:rFonts w:hint="eastAsia" w:ascii="宋体" w:hAnsi="宋体" w:cs="宋体"/>
          <w:sz w:val="24"/>
          <w:szCs w:val="24"/>
        </w:rPr>
        <w:t>公司积极投入</w:t>
      </w:r>
      <w:r>
        <w:rPr>
          <w:rFonts w:ascii="宋体" w:hAnsi="宋体" w:cs="宋体"/>
          <w:sz w:val="24"/>
          <w:szCs w:val="24"/>
        </w:rPr>
        <w:t>技术研发</w:t>
      </w:r>
      <w:r>
        <w:rPr>
          <w:rFonts w:hint="eastAsia" w:ascii="宋体" w:hAnsi="宋体" w:cs="宋体"/>
          <w:sz w:val="24"/>
          <w:szCs w:val="24"/>
        </w:rPr>
        <w:t>及</w:t>
      </w:r>
      <w:r>
        <w:rPr>
          <w:rFonts w:ascii="宋体" w:hAnsi="宋体" w:cs="宋体"/>
          <w:sz w:val="24"/>
          <w:szCs w:val="24"/>
        </w:rPr>
        <w:t>工艺改善，</w:t>
      </w:r>
      <w:r>
        <w:rPr>
          <w:rFonts w:hint="eastAsia" w:ascii="宋体" w:hAnsi="宋体" w:cs="宋体"/>
          <w:sz w:val="24"/>
          <w:szCs w:val="24"/>
        </w:rPr>
        <w:t>投产以来，目前已累计获得7项发明专利，45项实用新型专利，2项软件著作权。</w:t>
      </w:r>
      <w:r>
        <w:rPr>
          <w:rFonts w:hint="eastAsia" w:ascii="宋体" w:hAnsi="宋体" w:cs="宋体"/>
          <w:sz w:val="24"/>
          <w:szCs w:val="24"/>
          <w:shd w:val="clear" w:color="080000" w:fill="FFFFFF"/>
        </w:rPr>
        <w:t>此外，公司也在持续加大信息化及工业化改造及知识产权认证，目前，已通过了两化融合贯标体系认证/知识产权贯标体系认证，实现了纸机系统信息化、在线自动侦测智能化、现场制造数据目视化，制浆转鼓生产线以及热电脱硫脱硝等一系列自动化项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2020年12月，公司顺利通过国家级高新技术企业认定复评。</w:t>
      </w:r>
    </w:p>
    <w:p/>
    <w:p>
      <w:pPr>
        <w:pStyle w:val="24"/>
        <w:numPr>
          <w:ilvl w:val="0"/>
          <w:numId w:val="3"/>
        </w:numPr>
        <w:ind w:firstLine="643"/>
        <w:outlineLvl w:val="1"/>
        <w:rPr>
          <w:rStyle w:val="26"/>
          <w:rFonts w:ascii="宋体" w:hAnsi="宋体"/>
          <w:szCs w:val="32"/>
        </w:rPr>
      </w:pPr>
      <w:bookmarkStart w:id="8" w:name="_Toc2001"/>
      <w:r>
        <w:rPr>
          <w:rStyle w:val="26"/>
          <w:rFonts w:hint="eastAsia"/>
          <w:szCs w:val="32"/>
        </w:rPr>
        <w:t>研发团队建立</w:t>
      </w:r>
      <w:bookmarkEnd w:id="8"/>
    </w:p>
    <w:p>
      <w:pPr>
        <w:spacing w:line="480" w:lineRule="exact"/>
        <w:ind w:firstLine="420"/>
        <w:rPr>
          <w:rFonts w:hAnsi="Arial"/>
          <w:sz w:val="24"/>
          <w:szCs w:val="24"/>
        </w:rPr>
      </w:pPr>
      <w:r>
        <w:rPr>
          <w:sz w:val="24"/>
          <w:szCs w:val="24"/>
        </w:rPr>
        <w:t>公司十分注重技术人员队伍建设，通过引进、招聘、培训等多种途径，每年增加大批的人才。</w:t>
      </w:r>
      <w:r>
        <w:rPr>
          <w:rFonts w:hAnsi="Arial"/>
          <w:sz w:val="24"/>
          <w:szCs w:val="24"/>
        </w:rPr>
        <w:t>同时，还积极引进社会成熟人才，满足</w:t>
      </w:r>
      <w:r>
        <w:rPr>
          <w:rFonts w:hint="eastAsia" w:hAnsi="Arial"/>
          <w:sz w:val="24"/>
          <w:szCs w:val="24"/>
        </w:rPr>
        <w:t>工艺研发</w:t>
      </w:r>
      <w:r>
        <w:rPr>
          <w:rFonts w:hAnsi="Arial"/>
          <w:sz w:val="24"/>
          <w:szCs w:val="24"/>
        </w:rPr>
        <w:t>急需，培养和造就一支与公司发展相适应的高素质、富有创新活力的人才队伍。目前公司</w:t>
      </w:r>
      <w:r>
        <w:rPr>
          <w:rFonts w:hint="eastAsia" w:hAnsi="Arial"/>
          <w:sz w:val="24"/>
          <w:szCs w:val="24"/>
        </w:rPr>
        <w:t>技术</w:t>
      </w:r>
      <w:r>
        <w:rPr>
          <w:rFonts w:hAnsi="Arial"/>
          <w:sz w:val="24"/>
          <w:szCs w:val="24"/>
        </w:rPr>
        <w:t>中心</w:t>
      </w:r>
      <w:r>
        <w:rPr>
          <w:rFonts w:hint="eastAsia" w:hAnsi="Arial"/>
          <w:sz w:val="24"/>
          <w:szCs w:val="24"/>
        </w:rPr>
        <w:t>现</w:t>
      </w:r>
      <w:r>
        <w:rPr>
          <w:rFonts w:hAnsi="Arial"/>
          <w:sz w:val="24"/>
          <w:szCs w:val="24"/>
        </w:rPr>
        <w:t>有研发人员</w:t>
      </w:r>
      <w:r>
        <w:rPr>
          <w:rFonts w:hint="eastAsia" w:hAnsi="Arial"/>
          <w:sz w:val="24"/>
          <w:szCs w:val="24"/>
        </w:rPr>
        <w:t>109</w:t>
      </w:r>
      <w:r>
        <w:rPr>
          <w:rFonts w:hAnsi="Arial"/>
          <w:sz w:val="24"/>
          <w:szCs w:val="24"/>
        </w:rPr>
        <w:t>人。</w:t>
      </w:r>
    </w:p>
    <w:p>
      <w:pPr>
        <w:spacing w:line="480" w:lineRule="exact"/>
        <w:ind w:firstLine="420"/>
        <w:rPr>
          <w:rFonts w:hAnsi="Arial"/>
          <w:sz w:val="24"/>
          <w:szCs w:val="24"/>
        </w:rPr>
      </w:pPr>
    </w:p>
    <w:p>
      <w:pPr>
        <w:pStyle w:val="3"/>
        <w:tabs>
          <w:tab w:val="left" w:pos="0"/>
        </w:tabs>
        <w:spacing w:before="0" w:after="0" w:line="240" w:lineRule="auto"/>
        <w:ind w:firstLine="643" w:firstLineChars="200"/>
        <w:rPr>
          <w:rFonts w:asciiTheme="majorEastAsia" w:hAnsiTheme="majorEastAsia" w:eastAsiaTheme="majorEastAsia" w:cstheme="majorEastAsia"/>
        </w:rPr>
      </w:pPr>
      <w:bookmarkStart w:id="9" w:name="_Toc1072"/>
      <w:r>
        <w:rPr>
          <w:rFonts w:hint="eastAsia" w:asciiTheme="majorEastAsia" w:hAnsiTheme="majorEastAsia" w:eastAsiaTheme="majorEastAsia" w:cstheme="majorEastAsia"/>
        </w:rPr>
        <w:t>3、知识产权工作</w:t>
      </w:r>
      <w:bookmarkEnd w:id="9"/>
    </w:p>
    <w:p>
      <w:pPr>
        <w:spacing w:line="360" w:lineRule="auto"/>
        <w:ind w:firstLine="420"/>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公司至今累计拥有有效授权专利52件（发明专利7件，实用新型45件）。2019年新申报发明专利</w:t>
      </w:r>
      <w:bookmarkStart w:id="38" w:name="_GoBack"/>
      <w:bookmarkEnd w:id="38"/>
      <w:r>
        <w:rPr>
          <w:rFonts w:hint="eastAsia" w:asciiTheme="minorEastAsia" w:hAnsiTheme="minorEastAsia" w:eastAsiaTheme="minorEastAsia" w:cstheme="minorEastAsia"/>
          <w:sz w:val="24"/>
          <w:szCs w:val="24"/>
        </w:rPr>
        <w:t>2件，实用新型专利19件，</w:t>
      </w:r>
      <w:r>
        <w:rPr>
          <w:rFonts w:hint="eastAsia" w:asciiTheme="minorEastAsia" w:hAnsiTheme="minorEastAsia" w:eastAsiaTheme="minorEastAsia" w:cstheme="minorEastAsia"/>
          <w:sz w:val="24"/>
          <w:szCs w:val="24"/>
          <w:highlight w:val="none"/>
        </w:rPr>
        <w:t>2020年新申报实用新型专利8件。</w:t>
      </w:r>
    </w:p>
    <w:p>
      <w:pPr>
        <w:widowControl/>
        <w:jc w:val="left"/>
      </w:pPr>
      <w:r>
        <w:rPr>
          <w:rFonts w:ascii="宋体" w:hAnsi="宋体" w:cs="宋体"/>
          <w:kern w:val="0"/>
          <w:sz w:val="24"/>
          <w:szCs w:val="24"/>
        </w:rPr>
        <w:fldChar w:fldCharType="begin"/>
      </w:r>
      <w:r>
        <w:rPr>
          <w:rFonts w:ascii="宋体" w:hAnsi="宋体" w:cs="宋体"/>
          <w:kern w:val="0"/>
          <w:sz w:val="24"/>
          <w:szCs w:val="24"/>
        </w:rPr>
        <w:instrText xml:space="preserve">INCLUDEPICTURE \d "C:\\Users\\f5302\\AppData\\Roaming\\Tencent\\Users\\190421231\\TIM\\WinTemp\\RichOle\\LO27~]SVX`34TQ)A7HRA6X9.png"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1653540" cy="2600325"/>
            <wp:effectExtent l="0" t="0" r="3810" b="952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5">
                      <a:lum/>
                    </a:blip>
                    <a:stretch>
                      <a:fillRect/>
                    </a:stretch>
                  </pic:blipFill>
                  <pic:spPr>
                    <a:xfrm>
                      <a:off x="0" y="0"/>
                      <a:ext cx="1653540" cy="2600325"/>
                    </a:xfrm>
                    <a:prstGeom prst="rect">
                      <a:avLst/>
                    </a:prstGeom>
                    <a:noFill/>
                    <a:ln w="9525">
                      <a:noFill/>
                      <a:miter/>
                    </a:ln>
                  </pic:spPr>
                </pic:pic>
              </a:graphicData>
            </a:graphic>
          </wp:inline>
        </w:drawing>
      </w:r>
      <w:r>
        <w:rPr>
          <w:rFonts w:ascii="宋体" w:hAnsi="宋体" w:cs="宋体"/>
          <w:kern w:val="0"/>
          <w:sz w:val="24"/>
          <w:szCs w:val="24"/>
        </w:rPr>
        <w:fldChar w:fldCharType="end"/>
      </w:r>
      <w:r>
        <w:rPr>
          <w:rFonts w:ascii="宋体" w:hAnsi="宋体" w:cs="宋体"/>
          <w:kern w:val="0"/>
          <w:sz w:val="24"/>
          <w:szCs w:val="24"/>
        </w:rPr>
        <w:fldChar w:fldCharType="begin"/>
      </w:r>
      <w:r>
        <w:rPr>
          <w:rFonts w:ascii="宋体" w:hAnsi="宋体" w:cs="宋体"/>
          <w:kern w:val="0"/>
          <w:sz w:val="24"/>
          <w:szCs w:val="24"/>
        </w:rPr>
        <w:instrText xml:space="preserve">INCLUDEPICTURE \d "C:\\Users\\f5302\\AppData\\Roaming\\Tencent\\Users\\190421231\\TIM\\WinTemp\\RichOle\\B99M)FAR1S`JHPF~_N4V9W7.png"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1685290" cy="2616835"/>
            <wp:effectExtent l="0" t="0" r="1016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
                      <a:lum/>
                    </a:blip>
                    <a:stretch>
                      <a:fillRect/>
                    </a:stretch>
                  </pic:blipFill>
                  <pic:spPr>
                    <a:xfrm>
                      <a:off x="0" y="0"/>
                      <a:ext cx="1685290" cy="2616835"/>
                    </a:xfrm>
                    <a:prstGeom prst="rect">
                      <a:avLst/>
                    </a:prstGeom>
                    <a:noFill/>
                    <a:ln w="9525">
                      <a:noFill/>
                      <a:miter/>
                    </a:ln>
                  </pic:spPr>
                </pic:pic>
              </a:graphicData>
            </a:graphic>
          </wp:inline>
        </w:drawing>
      </w:r>
      <w:r>
        <w:rPr>
          <w:rFonts w:ascii="宋体" w:hAnsi="宋体" w:cs="宋体"/>
          <w:kern w:val="0"/>
          <w:sz w:val="24"/>
          <w:szCs w:val="24"/>
        </w:rPr>
        <w:fldChar w:fldCharType="end"/>
      </w:r>
      <w:r>
        <w:rPr>
          <w:rFonts w:ascii="宋体" w:hAnsi="宋体" w:cs="宋体"/>
          <w:kern w:val="0"/>
          <w:sz w:val="24"/>
          <w:szCs w:val="24"/>
        </w:rPr>
        <w:fldChar w:fldCharType="begin"/>
      </w:r>
      <w:r>
        <w:rPr>
          <w:rFonts w:ascii="宋体" w:hAnsi="宋体" w:cs="宋体"/>
          <w:kern w:val="0"/>
          <w:sz w:val="24"/>
          <w:szCs w:val="24"/>
        </w:rPr>
        <w:instrText xml:space="preserve">INCLUDEPICTURE \d "C:\\Users\\f5302\\AppData\\Roaming\\Tencent\\Users\\190421231\\TIM\\WinTemp\\RichOle\\RV94$(U%W8C7U7LISD[NZDS.png"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1720850" cy="2611755"/>
            <wp:effectExtent l="0" t="0" r="12700" b="1714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7">
                      <a:lum/>
                    </a:blip>
                    <a:stretch>
                      <a:fillRect/>
                    </a:stretch>
                  </pic:blipFill>
                  <pic:spPr>
                    <a:xfrm>
                      <a:off x="0" y="0"/>
                      <a:ext cx="1720850" cy="2611755"/>
                    </a:xfrm>
                    <a:prstGeom prst="rect">
                      <a:avLst/>
                    </a:prstGeom>
                    <a:noFill/>
                    <a:ln w="9525">
                      <a:noFill/>
                      <a:miter/>
                    </a:ln>
                  </pic:spPr>
                </pic:pic>
              </a:graphicData>
            </a:graphic>
          </wp:inline>
        </w:drawing>
      </w:r>
      <w:r>
        <w:rPr>
          <w:rFonts w:ascii="宋体" w:hAnsi="宋体" w:cs="宋体"/>
          <w:kern w:val="0"/>
          <w:sz w:val="24"/>
          <w:szCs w:val="24"/>
        </w:rPr>
        <w:fldChar w:fldCharType="end"/>
      </w:r>
    </w:p>
    <w:p>
      <w:pPr>
        <w:pStyle w:val="3"/>
        <w:numPr>
          <w:ilvl w:val="0"/>
          <w:numId w:val="4"/>
        </w:numPr>
      </w:pPr>
      <w:bookmarkStart w:id="10" w:name="_Toc21597"/>
      <w:r>
        <w:rPr>
          <w:rFonts w:hint="eastAsia"/>
        </w:rPr>
        <w:t>信用建设</w:t>
      </w:r>
      <w:bookmarkEnd w:id="10"/>
    </w:p>
    <w:p>
      <w:pPr>
        <w:autoSpaceDN w:val="0"/>
        <w:spacing w:before="150" w:after="150" w:line="360" w:lineRule="auto"/>
        <w:ind w:firstLine="420"/>
        <w:rPr>
          <w:rFonts w:ascii="宋体" w:hAnsi="宋体"/>
          <w:sz w:val="24"/>
        </w:rPr>
      </w:pPr>
      <w:r>
        <w:rPr>
          <w:rFonts w:hint="eastAsia" w:ascii="宋体" w:hAnsi="宋体"/>
          <w:sz w:val="24"/>
        </w:rPr>
        <w:t>公司一直将信用管理工作作为公司日常管理的一项重要工作内容坚持开展，在市场经济日益发达的现代社会，我们深知“守合同重信用”是企业生存发展之本，企业的信用资质已成为企业在市场竞争中不可或缺的重要标签。公司始终坚持以诚为本，以信迎客，得到了广大客户的积极评价和充分信赖。公司</w:t>
      </w:r>
      <w:r>
        <w:rPr>
          <w:rFonts w:ascii="宋体" w:hAnsi="宋体"/>
          <w:sz w:val="24"/>
        </w:rPr>
        <w:t>银行</w:t>
      </w:r>
      <w:r>
        <w:rPr>
          <w:rFonts w:hint="eastAsia" w:ascii="宋体" w:hAnsi="宋体"/>
          <w:sz w:val="24"/>
        </w:rPr>
        <w:t>企业</w:t>
      </w:r>
      <w:r>
        <w:rPr>
          <w:rFonts w:ascii="宋体" w:hAnsi="宋体"/>
          <w:sz w:val="24"/>
        </w:rPr>
        <w:t>信用</w:t>
      </w:r>
      <w:r>
        <w:rPr>
          <w:rFonts w:hint="eastAsia" w:ascii="宋体" w:hAnsi="宋体"/>
          <w:sz w:val="24"/>
        </w:rPr>
        <w:t>等级AAA。</w:t>
      </w:r>
    </w:p>
    <w:p>
      <w:pPr>
        <w:widowControl/>
        <w:jc w:val="center"/>
      </w:pPr>
      <w:r>
        <w:rPr>
          <w:rFonts w:ascii="宋体" w:hAnsi="宋体" w:cs="宋体"/>
          <w:kern w:val="0"/>
          <w:sz w:val="24"/>
          <w:szCs w:val="24"/>
        </w:rPr>
        <w:fldChar w:fldCharType="begin"/>
      </w:r>
      <w:r>
        <w:rPr>
          <w:rFonts w:ascii="宋体" w:hAnsi="宋体" w:cs="宋体"/>
          <w:kern w:val="0"/>
          <w:sz w:val="24"/>
          <w:szCs w:val="24"/>
        </w:rPr>
        <w:instrText xml:space="preserve">INCLUDEPICTURE \d "C:\\Users\\f5302\\AppData\\Roaming\\Tencent\\Users\\190421231\\TIM\\WinTemp\\RichOle\\O`J0]WXRI%ZCT`1O73HAQ35.png"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2038350" cy="2750820"/>
            <wp:effectExtent l="0" t="0" r="0" b="1143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8">
                      <a:lum/>
                    </a:blip>
                    <a:stretch>
                      <a:fillRect/>
                    </a:stretch>
                  </pic:blipFill>
                  <pic:spPr>
                    <a:xfrm>
                      <a:off x="0" y="0"/>
                      <a:ext cx="2038350" cy="2750820"/>
                    </a:xfrm>
                    <a:prstGeom prst="rect">
                      <a:avLst/>
                    </a:prstGeom>
                    <a:noFill/>
                    <a:ln w="9525">
                      <a:noFill/>
                      <a:miter/>
                    </a:ln>
                  </pic:spPr>
                </pic:pic>
              </a:graphicData>
            </a:graphic>
          </wp:inline>
        </w:drawing>
      </w:r>
      <w:r>
        <w:rPr>
          <w:rFonts w:ascii="宋体" w:hAnsi="宋体" w:cs="宋体"/>
          <w:kern w:val="0"/>
          <w:sz w:val="24"/>
          <w:szCs w:val="24"/>
        </w:rPr>
        <w:fldChar w:fldCharType="end"/>
      </w:r>
    </w:p>
    <w:p>
      <w:pPr>
        <w:pStyle w:val="3"/>
        <w:numPr>
          <w:ilvl w:val="0"/>
          <w:numId w:val="5"/>
        </w:numPr>
      </w:pPr>
      <w:bookmarkStart w:id="11" w:name="_Toc27369"/>
      <w:r>
        <w:rPr>
          <w:rFonts w:hint="eastAsia"/>
        </w:rPr>
        <w:t>环保节约</w:t>
      </w:r>
      <w:bookmarkEnd w:id="11"/>
    </w:p>
    <w:p>
      <w:pPr>
        <w:pStyle w:val="4"/>
        <w:numPr>
          <w:ilvl w:val="0"/>
          <w:numId w:val="6"/>
        </w:numPr>
      </w:pPr>
      <w:bookmarkStart w:id="12" w:name="_Toc19767"/>
      <w:r>
        <w:rPr>
          <w:rFonts w:hint="eastAsia"/>
        </w:rPr>
        <w:t>环境管理</w:t>
      </w:r>
      <w:bookmarkEnd w:id="12"/>
    </w:p>
    <w:p>
      <w:pPr>
        <w:autoSpaceDN w:val="0"/>
        <w:spacing w:before="150" w:after="150" w:line="360" w:lineRule="auto"/>
        <w:ind w:firstLine="480" w:firstLineChars="200"/>
        <w:rPr>
          <w:rFonts w:ascii="宋体" w:hAnsi="宋体"/>
          <w:sz w:val="24"/>
        </w:rPr>
      </w:pPr>
      <w:r>
        <w:rPr>
          <w:rFonts w:hint="eastAsia" w:ascii="宋体" w:hAnsi="宋体"/>
          <w:sz w:val="24"/>
        </w:rPr>
        <w:t>公司已通过了ISO14001环境管理体系认证、ISO9001质量管理体系认证和ISO45001职业健康安全管理体系，通过了能源体系的认证、温室气体核查及FSC森林体系的认证，增强了员工环境管理和员工职业健康安全的管理能力及环保节能减排的意识。建立专门的管理机构，健全完善环境管理制度并纳入正常管理，记录环保设施的运行数据并建立环保档案。建立和完善环境污染事故应急预案，并定期组织演练。加强生产技术和设备管理，充分利用好各种资源、能源，提高原料、能源利用率，不产生或少产生废弃物。凡是通过检修、更换设备能够解决污染问题的，要及时停产检修、更换设备。对重要环境因素进行重点管控，遵纪守法，全年无安全、环保事故的发生。</w:t>
      </w:r>
    </w:p>
    <w:p>
      <w:pPr>
        <w:widowControl/>
        <w:jc w:val="left"/>
        <w:rPr>
          <w:rFonts w:ascii="宋体" w:hAnsi="宋体" w:cs="宋体"/>
          <w:kern w:val="0"/>
          <w:sz w:val="24"/>
          <w:szCs w:val="24"/>
        </w:rPr>
      </w:pPr>
      <w:r>
        <w:rPr>
          <w:rFonts w:hint="eastAsia" w:ascii="宋体" w:hAnsi="宋体" w:cs="宋体"/>
          <w:kern w:val="0"/>
          <w:sz w:val="24"/>
          <w:szCs w:val="24"/>
        </w:rPr>
        <w:t xml:space="preserve">     </w:t>
      </w:r>
      <w:r>
        <w:drawing>
          <wp:inline distT="0" distB="0" distL="114300" distR="114300">
            <wp:extent cx="2315845" cy="2748915"/>
            <wp:effectExtent l="0" t="0" r="8255" b="13335"/>
            <wp:docPr id="26" name="图片 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无标题"/>
                    <pic:cNvPicPr>
                      <a:picLocks noChangeAspect="1"/>
                    </pic:cNvPicPr>
                  </pic:nvPicPr>
                  <pic:blipFill>
                    <a:blip r:embed="rId9">
                      <a:lum/>
                    </a:blip>
                    <a:stretch>
                      <a:fillRect/>
                    </a:stretch>
                  </pic:blipFill>
                  <pic:spPr>
                    <a:xfrm>
                      <a:off x="0" y="0"/>
                      <a:ext cx="2315845" cy="2748915"/>
                    </a:xfrm>
                    <a:prstGeom prst="rect">
                      <a:avLst/>
                    </a:prstGeom>
                    <a:noFill/>
                    <a:ln w="9525">
                      <a:noFill/>
                      <a:miter/>
                    </a:ln>
                  </pic:spPr>
                </pic:pic>
              </a:graphicData>
            </a:graphic>
          </wp:inline>
        </w:drawing>
      </w:r>
      <w:r>
        <w:drawing>
          <wp:inline distT="0" distB="0" distL="114300" distR="114300">
            <wp:extent cx="2047875" cy="2732405"/>
            <wp:effectExtent l="0" t="0" r="9525" b="10795"/>
            <wp:docPr id="27" name="图片 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无标题"/>
                    <pic:cNvPicPr>
                      <a:picLocks noChangeAspect="1"/>
                    </pic:cNvPicPr>
                  </pic:nvPicPr>
                  <pic:blipFill>
                    <a:blip r:embed="rId10">
                      <a:lum/>
                    </a:blip>
                    <a:stretch>
                      <a:fillRect/>
                    </a:stretch>
                  </pic:blipFill>
                  <pic:spPr>
                    <a:xfrm>
                      <a:off x="0" y="0"/>
                      <a:ext cx="2047875" cy="2732405"/>
                    </a:xfrm>
                    <a:prstGeom prst="rect">
                      <a:avLst/>
                    </a:prstGeom>
                    <a:noFill/>
                    <a:ln w="9525">
                      <a:noFill/>
                      <a:miter/>
                    </a:ln>
                  </pic:spPr>
                </pic:pic>
              </a:graphicData>
            </a:graphic>
          </wp:inline>
        </w:drawing>
      </w:r>
    </w:p>
    <w:p>
      <w:pPr>
        <w:widowControl/>
        <w:jc w:val="left"/>
        <w:rPr>
          <w:rFonts w:ascii="宋体" w:hAnsi="宋体" w:cs="宋体"/>
          <w:kern w:val="0"/>
          <w:sz w:val="24"/>
          <w:szCs w:val="24"/>
        </w:rPr>
      </w:pPr>
      <w:r>
        <w:rPr>
          <w:rFonts w:hint="eastAsia" w:ascii="宋体" w:hAnsi="宋体" w:cs="宋体"/>
          <w:kern w:val="0"/>
          <w:sz w:val="24"/>
          <w:szCs w:val="24"/>
        </w:rPr>
        <w:t xml:space="preserve">    </w:t>
      </w:r>
      <w:r>
        <w:drawing>
          <wp:inline distT="0" distB="0" distL="114300" distR="114300">
            <wp:extent cx="2284730" cy="2766060"/>
            <wp:effectExtent l="0" t="0" r="1270" b="15240"/>
            <wp:docPr id="28" name="图片 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无标题"/>
                    <pic:cNvPicPr>
                      <a:picLocks noChangeAspect="1"/>
                    </pic:cNvPicPr>
                  </pic:nvPicPr>
                  <pic:blipFill>
                    <a:blip r:embed="rId11">
                      <a:lum/>
                    </a:blip>
                    <a:stretch>
                      <a:fillRect/>
                    </a:stretch>
                  </pic:blipFill>
                  <pic:spPr>
                    <a:xfrm>
                      <a:off x="0" y="0"/>
                      <a:ext cx="2284730" cy="2766060"/>
                    </a:xfrm>
                    <a:prstGeom prst="rect">
                      <a:avLst/>
                    </a:prstGeom>
                    <a:noFill/>
                    <a:ln w="9525">
                      <a:noFill/>
                      <a:miter/>
                    </a:ln>
                  </pic:spPr>
                </pic:pic>
              </a:graphicData>
            </a:graphic>
          </wp:inline>
        </w:drawing>
      </w:r>
      <w:r>
        <w:drawing>
          <wp:inline distT="0" distB="0" distL="114300" distR="114300">
            <wp:extent cx="2066290" cy="2724150"/>
            <wp:effectExtent l="0" t="0" r="10160" b="0"/>
            <wp:docPr id="29" name="图片 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无标题"/>
                    <pic:cNvPicPr>
                      <a:picLocks noChangeAspect="1"/>
                    </pic:cNvPicPr>
                  </pic:nvPicPr>
                  <pic:blipFill>
                    <a:blip r:embed="rId12">
                      <a:lum/>
                    </a:blip>
                    <a:stretch>
                      <a:fillRect/>
                    </a:stretch>
                  </pic:blipFill>
                  <pic:spPr>
                    <a:xfrm>
                      <a:off x="0" y="0"/>
                      <a:ext cx="2066290" cy="2724150"/>
                    </a:xfrm>
                    <a:prstGeom prst="rect">
                      <a:avLst/>
                    </a:prstGeom>
                    <a:noFill/>
                    <a:ln w="9525">
                      <a:noFill/>
                      <a:miter/>
                    </a:ln>
                  </pic:spPr>
                </pic:pic>
              </a:graphicData>
            </a:graphic>
          </wp:inline>
        </w:drawing>
      </w:r>
    </w:p>
    <w:p>
      <w:pPr>
        <w:widowControl/>
        <w:jc w:val="center"/>
        <w:rPr>
          <w:rFonts w:ascii="宋体" w:hAnsi="宋体"/>
          <w:sz w:val="24"/>
        </w:rPr>
      </w:pPr>
      <w:r>
        <w:drawing>
          <wp:inline distT="0" distB="0" distL="114300" distR="114300">
            <wp:extent cx="2200275" cy="2919730"/>
            <wp:effectExtent l="0" t="0" r="9525" b="13970"/>
            <wp:docPr id="30" name="图片 1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无标题"/>
                    <pic:cNvPicPr>
                      <a:picLocks noChangeAspect="1"/>
                    </pic:cNvPicPr>
                  </pic:nvPicPr>
                  <pic:blipFill>
                    <a:blip r:embed="rId13">
                      <a:lum/>
                    </a:blip>
                    <a:stretch>
                      <a:fillRect/>
                    </a:stretch>
                  </pic:blipFill>
                  <pic:spPr>
                    <a:xfrm>
                      <a:off x="0" y="0"/>
                      <a:ext cx="2200275" cy="2919730"/>
                    </a:xfrm>
                    <a:prstGeom prst="rect">
                      <a:avLst/>
                    </a:prstGeom>
                    <a:noFill/>
                    <a:ln w="9525">
                      <a:noFill/>
                      <a:miter/>
                    </a:ln>
                  </pic:spPr>
                </pic:pic>
              </a:graphicData>
            </a:graphic>
          </wp:inline>
        </w:drawing>
      </w:r>
      <w:r>
        <w:rPr>
          <w:rFonts w:ascii="宋体" w:hAnsi="宋体" w:cs="宋体"/>
          <w:kern w:val="0"/>
          <w:sz w:val="24"/>
          <w:szCs w:val="24"/>
        </w:rPr>
        <w:fldChar w:fldCharType="begin"/>
      </w:r>
      <w:r>
        <w:rPr>
          <w:rFonts w:ascii="宋体" w:hAnsi="宋体" w:cs="宋体"/>
          <w:kern w:val="0"/>
          <w:sz w:val="24"/>
          <w:szCs w:val="24"/>
        </w:rPr>
        <w:instrText xml:space="preserve">INCLUDEPICTURE \d "C:\\Users\\f5302\\AppData\\Roaming\\Tencent\\Users\\190421231\\TIM\\WinTemp\\RichOle\\W8MS[M%~U%I_~FOKL`K)LHY.png"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2237740" cy="2872105"/>
            <wp:effectExtent l="0" t="0" r="10160" b="444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4">
                      <a:lum/>
                    </a:blip>
                    <a:stretch>
                      <a:fillRect/>
                    </a:stretch>
                  </pic:blipFill>
                  <pic:spPr>
                    <a:xfrm>
                      <a:off x="0" y="0"/>
                      <a:ext cx="2237740" cy="2872105"/>
                    </a:xfrm>
                    <a:prstGeom prst="rect">
                      <a:avLst/>
                    </a:prstGeom>
                    <a:noFill/>
                    <a:ln w="9525">
                      <a:noFill/>
                      <a:miter/>
                    </a:ln>
                  </pic:spPr>
                </pic:pic>
              </a:graphicData>
            </a:graphic>
          </wp:inline>
        </w:drawing>
      </w:r>
      <w:r>
        <w:rPr>
          <w:rFonts w:ascii="宋体" w:hAnsi="宋体" w:cs="宋体"/>
          <w:kern w:val="0"/>
          <w:sz w:val="24"/>
          <w:szCs w:val="24"/>
        </w:rPr>
        <w:fldChar w:fldCharType="end"/>
      </w:r>
    </w:p>
    <w:p>
      <w:pPr>
        <w:pStyle w:val="4"/>
        <w:numPr>
          <w:ilvl w:val="0"/>
          <w:numId w:val="7"/>
        </w:numPr>
      </w:pPr>
      <w:bookmarkStart w:id="13" w:name="_Toc17131"/>
      <w:r>
        <w:rPr>
          <w:rFonts w:hint="eastAsia"/>
        </w:rPr>
        <w:t>资源节约与综合利用</w:t>
      </w:r>
      <w:bookmarkEnd w:id="13"/>
    </w:p>
    <w:p>
      <w:pPr>
        <w:spacing w:line="360" w:lineRule="auto"/>
        <w:ind w:firstLine="480" w:firstLineChars="200"/>
        <w:rPr>
          <w:rFonts w:ascii="宋体" w:hAnsi="宋体"/>
          <w:color w:val="0000FF"/>
          <w:sz w:val="24"/>
        </w:rPr>
      </w:pPr>
      <w:r>
        <w:rPr>
          <w:rFonts w:hint="eastAsia" w:ascii="宋体" w:hAnsi="宋体"/>
          <w:sz w:val="24"/>
        </w:rPr>
        <w:t>公司坚决杜绝资源浪费现象。木材资源是非可再生资源，用一点少一点，公司使用的造纸原料全部为回收的再生资源---废纸，不砍一棵树木，节约了森林资源。此外，2017-2018年公司也不断改进生产和加工工艺，全员推进6S革新小组降本节耗活动，在提高生产效率的同时减少能源损耗，如公司实施纸机透平泵改造，节约清水使用量和能源消耗；污泥回用，减少废水处理费用，纤维回收利用；减降纸机污水排放量和三期热电厂脱硫脱硝改造，减少废气污染物排放量。</w:t>
      </w:r>
    </w:p>
    <w:p>
      <w:pPr>
        <w:spacing w:line="360" w:lineRule="auto"/>
        <w:ind w:firstLine="480" w:firstLineChars="200"/>
        <w:rPr>
          <w:rFonts w:ascii="宋体" w:hAnsi="宋体"/>
          <w:sz w:val="24"/>
        </w:rPr>
      </w:pPr>
      <w:r>
        <w:rPr>
          <w:rFonts w:hint="eastAsia" w:ascii="宋体" w:hAnsi="宋体"/>
          <w:sz w:val="24"/>
        </w:rPr>
        <w:t>公司对供应商进行考核，优先采购通过环境管理体系认证的供方提供的物料，优先采购绿色物料，履行环保社会责任。</w:t>
      </w:r>
    </w:p>
    <w:p>
      <w:pPr>
        <w:pStyle w:val="3"/>
        <w:numPr>
          <w:ilvl w:val="0"/>
          <w:numId w:val="8"/>
        </w:numPr>
      </w:pPr>
      <w:bookmarkStart w:id="14" w:name="_Toc8359"/>
      <w:r>
        <w:rPr>
          <w:rFonts w:hint="eastAsia"/>
        </w:rPr>
        <w:t>安全生产</w:t>
      </w:r>
      <w:bookmarkEnd w:id="14"/>
    </w:p>
    <w:p>
      <w:pPr>
        <w:pStyle w:val="4"/>
        <w:numPr>
          <w:ilvl w:val="0"/>
          <w:numId w:val="9"/>
        </w:numPr>
      </w:pPr>
      <w:bookmarkStart w:id="15" w:name="_Toc19676"/>
      <w:r>
        <w:rPr>
          <w:rFonts w:hint="eastAsia"/>
        </w:rPr>
        <w:t>安全生产管理</w:t>
      </w:r>
      <w:bookmarkEnd w:id="15"/>
    </w:p>
    <w:p>
      <w:pPr>
        <w:spacing w:line="360" w:lineRule="auto"/>
        <w:ind w:firstLine="480" w:firstLineChars="200"/>
        <w:rPr>
          <w:rFonts w:ascii="宋体" w:hAnsi="宋体"/>
          <w:sz w:val="24"/>
        </w:rPr>
      </w:pPr>
      <w:r>
        <w:rPr>
          <w:rFonts w:hint="eastAsia" w:ascii="宋体" w:hAnsi="宋体"/>
          <w:sz w:val="24"/>
        </w:rPr>
        <w:t>公司按照法律法规的要求，落实安全生产责任制，层层签订安全生产责任书。按照“管生产必须管安全”及“五同时”的原则，从公司正式运行之初就成立安环部负责公司安全环保工作的统筹管理。建立了三级安全管理网络，共有兼专职安全管理人员7人，逐步推行现代安全管理，重视员工在作业中的安全和健康，成立有公司安全生产领导小组、明确有安全归口管理部门、配备有专兼职安全管理人员，安全生产管理网络健全，制定有各级安全生产责任制、安全生产管理制度，职能部门职责明确，</w:t>
      </w:r>
      <w:r>
        <w:rPr>
          <w:rFonts w:hint="eastAsia" w:ascii="宋体" w:hAnsi="宋体" w:cs="宋体"/>
          <w:sz w:val="24"/>
          <w:szCs w:val="24"/>
          <w:shd w:val="clear" w:color="080000" w:fill="FFFFFF"/>
        </w:rPr>
        <w:t>并在2017年4月14日获得了无锡市安全生产监督管理局颁发的《安全生产标准化证书》，复评文件递交无锡市应急管理局审核中。</w:t>
      </w:r>
    </w:p>
    <w:p>
      <w:pPr>
        <w:spacing w:line="360" w:lineRule="auto"/>
        <w:jc w:val="center"/>
        <w:rPr>
          <w:rFonts w:ascii="宋体" w:hAnsi="宋体"/>
          <w:sz w:val="24"/>
        </w:rPr>
      </w:pPr>
      <w:r>
        <w:rPr>
          <w:rFonts w:ascii="宋体" w:hAnsi="宋体" w:cs="宋体"/>
          <w:sz w:val="24"/>
          <w:szCs w:val="24"/>
        </w:rPr>
        <w:fldChar w:fldCharType="begin"/>
      </w:r>
      <w:r>
        <w:rPr>
          <w:rFonts w:ascii="宋体" w:hAnsi="宋体" w:cs="宋体"/>
          <w:sz w:val="24"/>
          <w:szCs w:val="24"/>
        </w:rPr>
        <w:instrText xml:space="preserve">INCLUDEPICTURE \d "C:\\Users\\f5302\\AppData\\Roaming\\Foxmail7\\Temp-6860-20191112074330\\Catch(11-12-16-05-56).jpg" \* MERGEFORMATINET </w:instrText>
      </w:r>
      <w:r>
        <w:rPr>
          <w:rFonts w:ascii="宋体" w:hAnsi="宋体" w:cs="宋体"/>
          <w:sz w:val="24"/>
          <w:szCs w:val="24"/>
        </w:rPr>
        <w:fldChar w:fldCharType="separate"/>
      </w:r>
      <w:r>
        <w:rPr>
          <w:rFonts w:ascii="宋体" w:hAnsi="宋体" w:cs="宋体"/>
          <w:sz w:val="24"/>
          <w:szCs w:val="24"/>
        </w:rPr>
        <w:drawing>
          <wp:inline distT="0" distB="0" distL="114300" distR="114300">
            <wp:extent cx="1445260" cy="2171700"/>
            <wp:effectExtent l="0" t="0" r="2540" b="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5">
                      <a:lum/>
                    </a:blip>
                    <a:stretch>
                      <a:fillRect/>
                    </a:stretch>
                  </pic:blipFill>
                  <pic:spPr>
                    <a:xfrm>
                      <a:off x="0" y="0"/>
                      <a:ext cx="1445260" cy="2171700"/>
                    </a:xfrm>
                    <a:prstGeom prst="rect">
                      <a:avLst/>
                    </a:prstGeom>
                    <a:noFill/>
                    <a:ln w="9525">
                      <a:noFill/>
                      <a:miter/>
                    </a:ln>
                  </pic:spPr>
                </pic:pic>
              </a:graphicData>
            </a:graphic>
          </wp:inline>
        </w:drawing>
      </w:r>
      <w:r>
        <w:rPr>
          <w:rFonts w:ascii="宋体" w:hAnsi="宋体" w:cs="宋体"/>
          <w:sz w:val="24"/>
          <w:szCs w:val="24"/>
        </w:rPr>
        <w:fldChar w:fldCharType="end"/>
      </w:r>
    </w:p>
    <w:p>
      <w:pPr>
        <w:pStyle w:val="4"/>
        <w:numPr>
          <w:ilvl w:val="0"/>
          <w:numId w:val="10"/>
        </w:numPr>
      </w:pPr>
      <w:bookmarkStart w:id="16" w:name="_Toc12850"/>
      <w:r>
        <w:rPr>
          <w:rFonts w:hint="eastAsia"/>
        </w:rPr>
        <w:t>安全生产投入</w:t>
      </w:r>
      <w:bookmarkEnd w:id="16"/>
    </w:p>
    <w:p>
      <w:pPr>
        <w:autoSpaceDN w:val="0"/>
        <w:spacing w:before="150" w:after="150" w:line="360" w:lineRule="auto"/>
        <w:ind w:firstLine="420"/>
        <w:rPr>
          <w:rFonts w:ascii="宋体" w:hAnsi="宋体"/>
          <w:sz w:val="24"/>
        </w:rPr>
      </w:pPr>
      <w:r>
        <w:rPr>
          <w:rFonts w:hint="eastAsia" w:ascii="宋体" w:hAnsi="宋体"/>
          <w:sz w:val="24"/>
        </w:rPr>
        <w:t>公司根据国家法律法规要求制定并严格执行安全生产预算，制定应急预案并进行演练，组织实施安全改善项目。每年投入资金为员工提供所需要的安全资源，包括个人防护设备、劳动防护用品等，以预防职业伤害、疾病和事故，以及紧急情况处理。按着“加强管控、防范盗窃、人车分离”安全防范要求，实施“安全技防项目”，为保护企业财产安全、保护员工切身利益，维护企业正常经营管理秩序提供了技术保障，提升了企业安全管理水平。</w:t>
      </w:r>
    </w:p>
    <w:p>
      <w:pPr>
        <w:pStyle w:val="4"/>
        <w:numPr>
          <w:ilvl w:val="0"/>
          <w:numId w:val="11"/>
        </w:numPr>
      </w:pPr>
      <w:bookmarkStart w:id="17" w:name="_Toc21953"/>
      <w:r>
        <w:rPr>
          <w:rFonts w:hint="eastAsia"/>
        </w:rPr>
        <w:t>安全生产工作</w:t>
      </w:r>
      <w:bookmarkEnd w:id="17"/>
    </w:p>
    <w:p>
      <w:pPr>
        <w:tabs>
          <w:tab w:val="left" w:pos="2940"/>
        </w:tabs>
        <w:spacing w:line="360" w:lineRule="auto"/>
        <w:ind w:firstLine="480" w:firstLineChars="200"/>
        <w:jc w:val="left"/>
        <w:rPr>
          <w:rFonts w:asciiTheme="minorEastAsia" w:hAnsiTheme="minorEastAsia" w:eastAsiaTheme="minorEastAsia" w:cstheme="minorEastAsia"/>
          <w:snapToGrid w:val="0"/>
          <w:kern w:val="0"/>
          <w:sz w:val="24"/>
          <w:szCs w:val="24"/>
        </w:rPr>
      </w:pPr>
      <w:r>
        <w:rPr>
          <w:rFonts w:hint="eastAsia" w:ascii="宋体" w:hAnsi="宋体"/>
          <w:sz w:val="24"/>
        </w:rPr>
        <w:t>员工是企业最宝贵的财富，企业的发展离不开员工，我公司一直以来都把安全生产、职工劳动保护工作当作一切工作中的重中之重，切实维护职工的生命安全和职业健康。为进一步加强企业安全工作，营造“安全管理，人人有责”的良好氛围，树立安全为天的思想意识，</w:t>
      </w:r>
      <w:r>
        <w:rPr>
          <w:rFonts w:hint="eastAsia" w:ascii="宋体" w:hAnsi="宋体" w:cs="宋体"/>
          <w:sz w:val="24"/>
          <w:szCs w:val="24"/>
          <w:shd w:val="clear" w:color="080000" w:fill="FFFFFF"/>
        </w:rPr>
        <w:t>2020年3月及6月，公司联合政府相关部门开展了“消防应急演练”“有限空间突发事故应急演练”确保安全生产突发事故</w:t>
      </w:r>
      <w:r>
        <w:rPr>
          <w:rFonts w:hint="eastAsia" w:asciiTheme="minorEastAsia" w:hAnsiTheme="minorEastAsia" w:eastAsiaTheme="minorEastAsia" w:cstheme="minorEastAsia"/>
          <w:sz w:val="24"/>
          <w:szCs w:val="24"/>
          <w:shd w:val="clear" w:color="080000" w:fill="FFFFFF"/>
        </w:rPr>
        <w:t>中的应急保障能力</w:t>
      </w:r>
      <w:r>
        <w:rPr>
          <w:rFonts w:hint="eastAsia" w:asciiTheme="minorEastAsia" w:hAnsiTheme="minorEastAsia" w:eastAsiaTheme="minorEastAsia" w:cstheme="minorEastAsia"/>
          <w:sz w:val="24"/>
          <w:szCs w:val="24"/>
        </w:rPr>
        <w:t>。公司在2020年度全市</w:t>
      </w:r>
      <w:r>
        <w:rPr>
          <w:rFonts w:hint="eastAsia" w:asciiTheme="minorEastAsia" w:hAnsiTheme="minorEastAsia" w:eastAsiaTheme="minorEastAsia" w:cstheme="minorEastAsia"/>
          <w:snapToGrid w:val="0"/>
          <w:kern w:val="0"/>
          <w:sz w:val="24"/>
          <w:szCs w:val="24"/>
        </w:rPr>
        <w:t>安全生产专项整治中全力推进安全生产专项整治“一年小灶”，积极参与安全生产专项整治“三年大灶”和安全发展示范城市创建活动中强化组织领导、强化责任担当、强化措施落实，通过领导与员工日常安全工作管理中的紧密结合，再本次活动中表现优异，并</w:t>
      </w:r>
      <w:r>
        <w:rPr>
          <w:rFonts w:hint="eastAsia" w:asciiTheme="minorEastAsia" w:hAnsiTheme="minorEastAsia" w:eastAsiaTheme="minorEastAsia" w:cstheme="minorEastAsia"/>
          <w:sz w:val="24"/>
          <w:szCs w:val="24"/>
        </w:rPr>
        <w:t>荣获“2020年度全市</w:t>
      </w:r>
      <w:r>
        <w:rPr>
          <w:rFonts w:hint="eastAsia" w:asciiTheme="minorEastAsia" w:hAnsiTheme="minorEastAsia" w:eastAsiaTheme="minorEastAsia" w:cstheme="minorEastAsia"/>
          <w:snapToGrid w:val="0"/>
          <w:kern w:val="0"/>
          <w:sz w:val="24"/>
          <w:szCs w:val="24"/>
        </w:rPr>
        <w:t>安全生产专项整治”先进集体。</w:t>
      </w:r>
    </w:p>
    <w:p>
      <w:pPr>
        <w:tabs>
          <w:tab w:val="left" w:pos="2940"/>
        </w:tabs>
        <w:spacing w:line="360" w:lineRule="auto"/>
        <w:ind w:firstLine="480" w:firstLineChars="200"/>
        <w:jc w:val="left"/>
        <w:rPr>
          <w:rFonts w:asciiTheme="minorEastAsia" w:hAnsiTheme="minorEastAsia" w:eastAsiaTheme="minorEastAsia" w:cstheme="minorEastAsia"/>
          <w:snapToGrid w:val="0"/>
          <w:kern w:val="0"/>
          <w:sz w:val="24"/>
          <w:szCs w:val="24"/>
        </w:rPr>
      </w:pPr>
    </w:p>
    <w:p>
      <w:pPr>
        <w:rPr>
          <w:rFonts w:eastAsia="黑体"/>
        </w:rPr>
      </w:pPr>
      <w:bookmarkStart w:id="18" w:name="_Toc31766"/>
    </w:p>
    <w:p>
      <w:pPr>
        <w:pStyle w:val="3"/>
        <w:numPr>
          <w:ilvl w:val="0"/>
          <w:numId w:val="12"/>
        </w:numPr>
      </w:pPr>
      <w:r>
        <w:rPr>
          <w:rFonts w:hint="eastAsia"/>
        </w:rPr>
        <w:t>员工</w:t>
      </w:r>
      <w:bookmarkEnd w:id="18"/>
    </w:p>
    <w:p>
      <w:pPr>
        <w:pStyle w:val="4"/>
        <w:numPr>
          <w:ilvl w:val="0"/>
          <w:numId w:val="13"/>
        </w:numPr>
      </w:pPr>
      <w:bookmarkStart w:id="19" w:name="_Toc29438"/>
      <w:r>
        <w:rPr>
          <w:rFonts w:hint="eastAsia"/>
        </w:rPr>
        <w:t>劳动合同与薪酬</w:t>
      </w:r>
      <w:bookmarkEnd w:id="19"/>
    </w:p>
    <w:p>
      <w:pPr>
        <w:autoSpaceDN w:val="0"/>
        <w:spacing w:before="150" w:after="150" w:line="360" w:lineRule="auto"/>
        <w:ind w:firstLine="420"/>
        <w:rPr>
          <w:rFonts w:ascii="宋体" w:hAnsi="宋体"/>
          <w:sz w:val="24"/>
        </w:rPr>
      </w:pPr>
      <w:r>
        <w:rPr>
          <w:rFonts w:hint="eastAsia" w:ascii="宋体" w:hAnsi="宋体"/>
          <w:sz w:val="24"/>
        </w:rPr>
        <w:t>公司严格遵守、全面贯彻《中华人民共和国劳动合同法》等法律法规，遵循合法、公平、平等自愿的原则与员工签订书面劳动合同，依法进行劳动合同的履行、变更、解除和终止。劳动合同签约率 100%。公司制定公平合理的薪酬制度，按时足额支付员工薪酬。遵循企业经营效益与员工收入同步提升的原则，根据企业年度经营目标，结合本市颁布的工资增长指导线，比照同行业人工成本和劳动力市场工资指导价位，确定年度平均工资增长幅度。因生产经营需要，安排加班需征得员工同意，按国家劳动法律法规支付相关报酬。</w:t>
      </w:r>
    </w:p>
    <w:p>
      <w:pPr>
        <w:pStyle w:val="4"/>
        <w:numPr>
          <w:ilvl w:val="0"/>
          <w:numId w:val="14"/>
        </w:numPr>
      </w:pPr>
      <w:bookmarkStart w:id="20" w:name="_Toc14780"/>
      <w:r>
        <w:rPr>
          <w:rFonts w:hint="eastAsia"/>
        </w:rPr>
        <w:t>社会保障</w:t>
      </w:r>
      <w:bookmarkEnd w:id="20"/>
    </w:p>
    <w:p>
      <w:pPr>
        <w:autoSpaceDN w:val="0"/>
        <w:spacing w:before="150" w:after="150" w:line="378" w:lineRule="atLeast"/>
        <w:ind w:firstLine="420"/>
        <w:rPr>
          <w:rFonts w:ascii="宋体" w:hAnsi="宋体"/>
          <w:sz w:val="24"/>
        </w:rPr>
      </w:pPr>
      <w:r>
        <w:rPr>
          <w:rFonts w:hint="eastAsia" w:ascii="宋体" w:hAnsi="宋体"/>
          <w:sz w:val="24"/>
        </w:rPr>
        <w:t>公司依法为员工按时足额缴纳养老金、失业保险金、医疗保险金等社会保险。</w:t>
      </w:r>
    </w:p>
    <w:p>
      <w:pPr>
        <w:pStyle w:val="4"/>
        <w:numPr>
          <w:ilvl w:val="0"/>
          <w:numId w:val="15"/>
        </w:numPr>
      </w:pPr>
      <w:bookmarkStart w:id="21" w:name="_Toc26512"/>
      <w:r>
        <w:rPr>
          <w:rFonts w:hint="eastAsia"/>
        </w:rPr>
        <w:t>员工福利</w:t>
      </w:r>
      <w:bookmarkEnd w:id="21"/>
    </w:p>
    <w:p>
      <w:pPr>
        <w:autoSpaceDN w:val="0"/>
        <w:spacing w:before="150" w:after="150" w:line="360" w:lineRule="auto"/>
        <w:ind w:firstLine="420"/>
        <w:rPr>
          <w:rFonts w:ascii="宋体" w:hAnsi="宋体"/>
          <w:sz w:val="24"/>
        </w:rPr>
      </w:pPr>
      <w:r>
        <w:rPr>
          <w:rFonts w:hint="eastAsia" w:ascii="宋体" w:hAnsi="宋体"/>
          <w:sz w:val="24"/>
        </w:rPr>
        <w:t>为丰富员工的业余生活，公司也组织策划了各类型活动，如</w:t>
      </w:r>
      <w:r>
        <w:rPr>
          <w:rFonts w:ascii="宋体" w:hAnsi="宋体"/>
          <w:sz w:val="24"/>
        </w:rPr>
        <w:t>新春迎新晚会、春秋季期间，公司组织举办了</w:t>
      </w:r>
      <w:r>
        <w:rPr>
          <w:rFonts w:hint="eastAsia" w:ascii="宋体" w:hAnsi="宋体"/>
          <w:sz w:val="24"/>
        </w:rPr>
        <w:t>爬山比赛</w:t>
      </w:r>
      <w:r>
        <w:rPr>
          <w:rFonts w:ascii="宋体" w:hAnsi="宋体"/>
          <w:sz w:val="24"/>
        </w:rPr>
        <w:t>、</w:t>
      </w:r>
      <w:r>
        <w:rPr>
          <w:rFonts w:hint="eastAsia" w:ascii="宋体" w:hAnsi="宋体"/>
          <w:sz w:val="24"/>
        </w:rPr>
        <w:t>篮球比赛、乒乓球比赛，户外徒步等活动，</w:t>
      </w:r>
      <w:r>
        <w:rPr>
          <w:rFonts w:ascii="宋体" w:hAnsi="宋体"/>
          <w:sz w:val="24"/>
        </w:rPr>
        <w:t>每年组织一次员工旅游等活动。</w:t>
      </w:r>
      <w:r>
        <w:rPr>
          <w:rFonts w:hint="eastAsia" w:ascii="宋体" w:hAnsi="宋体"/>
          <w:sz w:val="24"/>
        </w:rPr>
        <w:t>活跃和丰富了员工业余生活，激发了员工学习热情，增强了大家的凝聚力，在公司形成了良好的学习氛围。</w:t>
      </w:r>
    </w:p>
    <w:p>
      <w:pPr>
        <w:autoSpaceDN w:val="0"/>
        <w:spacing w:before="150" w:after="150" w:line="360" w:lineRule="auto"/>
        <w:ind w:firstLine="420"/>
        <w:rPr>
          <w:rFonts w:ascii="宋体" w:hAnsi="宋体"/>
          <w:sz w:val="24"/>
        </w:rPr>
      </w:pPr>
      <w:r>
        <w:rPr>
          <w:rFonts w:hint="eastAsia" w:ascii="宋体" w:hAnsi="宋体"/>
          <w:sz w:val="24"/>
        </w:rPr>
        <w:t>无锡荣成环保科技有限公司</w:t>
      </w:r>
      <w:r>
        <w:rPr>
          <w:rFonts w:ascii="宋体" w:hAnsi="宋体"/>
          <w:sz w:val="24"/>
        </w:rPr>
        <w:t>对员工的责任是</w:t>
      </w:r>
      <w:r>
        <w:rPr>
          <w:rFonts w:hint="eastAsia" w:ascii="宋体" w:hAnsi="宋体"/>
          <w:sz w:val="24"/>
        </w:rPr>
        <w:t>让全体员工安全、健康、快乐、富有。无锡荣成体现的是“家”文化。公司工会更是以关心员工生活，为群众办好事实事为已任，工会委员把关心做到“家”。公司工会每年会拿出一部分资金慰问在职的困难员工，认真了解员工的实际工作状况和所思</w:t>
      </w:r>
      <w:r>
        <w:rPr>
          <w:rFonts w:ascii="宋体" w:hAnsi="宋体"/>
          <w:sz w:val="24"/>
        </w:rPr>
        <w:t>、所想、所求</w:t>
      </w:r>
      <w:r>
        <w:rPr>
          <w:rFonts w:hint="eastAsia" w:ascii="宋体" w:hAnsi="宋体"/>
          <w:sz w:val="24"/>
        </w:rPr>
        <w:t>，为员工排忧解难。为了更好地服务于职工，公司工会积极组织策划了一系列专题活动。如： “三八妇女节”，公司</w:t>
      </w:r>
      <w:r>
        <w:rPr>
          <w:rFonts w:ascii="宋体" w:hAnsi="宋体"/>
          <w:sz w:val="24"/>
        </w:rPr>
        <w:t>邀请专业医生为在职女职工讲解妇科知识</w:t>
      </w:r>
      <w:r>
        <w:rPr>
          <w:rFonts w:hint="eastAsia" w:ascii="宋体" w:hAnsi="宋体"/>
          <w:sz w:val="24"/>
        </w:rPr>
        <w:t>；端午节、中秋节</w:t>
      </w:r>
      <w:r>
        <w:rPr>
          <w:rFonts w:ascii="宋体" w:hAnsi="宋体"/>
          <w:sz w:val="24"/>
        </w:rPr>
        <w:t>组织员工包粽子、赏月共享团圆。入夏</w:t>
      </w:r>
      <w:r>
        <w:rPr>
          <w:rFonts w:hint="eastAsia" w:ascii="宋体" w:hAnsi="宋体"/>
          <w:sz w:val="24"/>
        </w:rPr>
        <w:t>以来，公司</w:t>
      </w:r>
      <w:r>
        <w:rPr>
          <w:rFonts w:ascii="宋体" w:hAnsi="宋体"/>
          <w:sz w:val="24"/>
        </w:rPr>
        <w:t>定期为室外工作者分发解暑饮品</w:t>
      </w:r>
      <w:r>
        <w:rPr>
          <w:rFonts w:hint="eastAsia" w:ascii="宋体" w:hAnsi="宋体"/>
          <w:sz w:val="24"/>
        </w:rPr>
        <w:t>，公司每年都会</w:t>
      </w:r>
      <w:r>
        <w:rPr>
          <w:rFonts w:ascii="宋体" w:hAnsi="宋体"/>
          <w:sz w:val="24"/>
        </w:rPr>
        <w:t>组织颁奖典礼，表彰</w:t>
      </w:r>
      <w:r>
        <w:rPr>
          <w:rFonts w:hint="eastAsia" w:ascii="宋体" w:hAnsi="宋体"/>
          <w:sz w:val="24"/>
        </w:rPr>
        <w:t>先进班组、先进员工</w:t>
      </w:r>
      <w:r>
        <w:rPr>
          <w:rFonts w:ascii="宋体" w:hAnsi="宋体"/>
          <w:sz w:val="24"/>
        </w:rPr>
        <w:t>等。</w:t>
      </w:r>
      <w:r>
        <w:rPr>
          <w:rFonts w:hint="eastAsia" w:ascii="宋体" w:hAnsi="宋体"/>
          <w:sz w:val="24"/>
        </w:rPr>
        <w:t>通过一系列活动的开展，让员工充分感受到公司的人文关怀，让“荣成文化”的观念深入员工心中。通过先进集体、先进个人的评选表彰活动，宣传员工的优秀事迹，弘扬员工身上所体现的企业精神，并通过精神、理念、传统等无形的因素，陶冶员工的情操，培养员工群体意识和良好的共同习俗和道德风尚。</w:t>
      </w:r>
    </w:p>
    <w:p>
      <w:pPr>
        <w:pStyle w:val="4"/>
        <w:numPr>
          <w:ilvl w:val="0"/>
          <w:numId w:val="16"/>
        </w:numPr>
      </w:pPr>
      <w:bookmarkStart w:id="22" w:name="_Toc2715"/>
      <w:r>
        <w:rPr>
          <w:rFonts w:hint="eastAsia"/>
        </w:rPr>
        <w:t>民主管理</w:t>
      </w:r>
      <w:bookmarkEnd w:id="22"/>
    </w:p>
    <w:p>
      <w:pPr>
        <w:autoSpaceDN w:val="0"/>
        <w:spacing w:before="150" w:after="150" w:line="360" w:lineRule="auto"/>
        <w:ind w:firstLine="420"/>
        <w:rPr>
          <w:rFonts w:ascii="宋体" w:hAnsi="宋体"/>
          <w:sz w:val="24"/>
        </w:rPr>
      </w:pPr>
      <w:r>
        <w:rPr>
          <w:rFonts w:hint="eastAsia" w:ascii="宋体" w:hAnsi="宋体"/>
          <w:sz w:val="24"/>
        </w:rPr>
        <w:t>公司依法建立健全工会组织，维护员工权益。支持工会依法开展各项活动，定期和工会沟通，积极回应工会及其代表所投送的报告、建议及意见书等。工会主席参与涉及员工切身利益的规章制度的编制和讨论，并通过员工（代表）大会和服委会等途径审议确定。公司全力支持员工参加工会，鼓励员工多途径参与民主管理。如：职代会制度，领导干部民主评议等。</w:t>
      </w:r>
    </w:p>
    <w:p>
      <w:pPr>
        <w:pStyle w:val="4"/>
        <w:numPr>
          <w:ilvl w:val="0"/>
          <w:numId w:val="17"/>
        </w:numPr>
      </w:pPr>
      <w:bookmarkStart w:id="23" w:name="_Toc17359"/>
      <w:r>
        <w:rPr>
          <w:rFonts w:hint="eastAsia"/>
        </w:rPr>
        <w:t>员工培训和发展</w:t>
      </w:r>
      <w:bookmarkEnd w:id="23"/>
    </w:p>
    <w:p>
      <w:pPr>
        <w:autoSpaceDN w:val="0"/>
        <w:spacing w:before="150" w:after="150" w:line="360" w:lineRule="auto"/>
        <w:ind w:firstLine="480" w:firstLineChars="200"/>
        <w:rPr>
          <w:rFonts w:ascii="宋体" w:hAnsi="宋体"/>
          <w:sz w:val="24"/>
        </w:rPr>
      </w:pPr>
      <w:r>
        <w:rPr>
          <w:rFonts w:hint="eastAsia" w:ascii="宋体" w:hAnsi="宋体"/>
          <w:sz w:val="24"/>
        </w:rPr>
        <w:t>为全体员工提供全方位、多层次、系统性的教育培训和职业发展机会。公司将员工培训分为岗位培训和继续教育两大类，将培训形式分为内部培训、外部培训、员工自我培训三种。公司实施个性化的员工学习与发展计划，利用公司荣成集团培训及外部专业证书培训平台，让员工能随时随地学习，掌握最新的技能和知识；针对管理级员工，每年根据公司发展规划和人力资源规划，组织赴协总部参加6S研修营培训；针对专业技术人员，邀请国际国内技术专家定期举办专题讲座，每年技术研究报告会等形式，将知识和经验进行传承；针对现场一线人员，制定岗位标准操作标准QCS和SOP，并评定优秀带教师傅进行一对一理论与现场带教，并定期考核，以规范员工的操作手法和指令，使之达成产品的各项指标。同时对不同的岗位员工开展一系列活动和培训，如上岗培训、班长培训、岗位技能培训、证书培训等等。</w:t>
      </w:r>
    </w:p>
    <w:p>
      <w:pPr>
        <w:autoSpaceDN w:val="0"/>
        <w:spacing w:before="150" w:after="150" w:line="360" w:lineRule="auto"/>
        <w:ind w:firstLine="480" w:firstLineChars="200"/>
        <w:rPr>
          <w:rFonts w:ascii="宋体" w:hAnsi="宋体"/>
          <w:color w:val="FF0000"/>
          <w:sz w:val="24"/>
        </w:rPr>
      </w:pPr>
      <w:r>
        <w:rPr>
          <w:rFonts w:hint="eastAsia" w:ascii="宋体" w:hAnsi="宋体"/>
          <w:sz w:val="24"/>
        </w:rPr>
        <w:t>此外，公司围绕“内强素质、外树形象”的中心思想，一方面通过公司</w:t>
      </w:r>
      <w:r>
        <w:rPr>
          <w:rFonts w:ascii="宋体" w:hAnsi="宋体"/>
          <w:sz w:val="24"/>
        </w:rPr>
        <w:t>内部网页</w:t>
      </w:r>
      <w:r>
        <w:rPr>
          <w:rFonts w:hint="eastAsia" w:ascii="宋体" w:hAnsi="宋体"/>
          <w:sz w:val="24"/>
        </w:rPr>
        <w:t>、宣传栏、内部报刊等形式，教导员工树立紧迫感、危机感、责任感，充分调动员工的工作积极性和创造性；另一方面在公司内部组织班组进行各式各样的技能比赛，通过提交改善事例和评选对优秀员工进行奖励。充分调动了员工进行专业生产、强化操作技能的积极性。2017年2月公司被评为“无锡市劳动保护优秀工会”、全国工人先锋号”、</w:t>
      </w:r>
      <w:r>
        <w:rPr>
          <w:rFonts w:ascii="宋体" w:hAnsi="宋体"/>
          <w:sz w:val="24"/>
        </w:rPr>
        <w:t>“</w:t>
      </w:r>
      <w:r>
        <w:rPr>
          <w:rFonts w:hint="eastAsia" w:ascii="宋体" w:hAnsi="宋体"/>
          <w:sz w:val="24"/>
        </w:rPr>
        <w:t>无锡市</w:t>
      </w:r>
      <w:r>
        <w:rPr>
          <w:rFonts w:ascii="宋体" w:hAnsi="宋体"/>
          <w:sz w:val="24"/>
        </w:rPr>
        <w:t>五一劳动奖状”</w:t>
      </w:r>
      <w:r>
        <w:rPr>
          <w:rFonts w:hint="eastAsia" w:ascii="宋体" w:hAnsi="宋体"/>
          <w:sz w:val="24"/>
        </w:rPr>
        <w:t>称号。2</w:t>
      </w:r>
      <w:r>
        <w:rPr>
          <w:rFonts w:ascii="宋体" w:hAnsi="宋体"/>
          <w:sz w:val="24"/>
        </w:rPr>
        <w:t>018</w:t>
      </w:r>
      <w:r>
        <w:rPr>
          <w:rFonts w:hint="eastAsia" w:ascii="宋体" w:hAnsi="宋体"/>
          <w:sz w:val="24"/>
        </w:rPr>
        <w:t>年1月</w:t>
      </w:r>
      <w:r>
        <w:rPr>
          <w:rFonts w:ascii="宋体" w:hAnsi="宋体"/>
          <w:sz w:val="24"/>
        </w:rPr>
        <w:t>公司获得</w:t>
      </w:r>
      <w:r>
        <w:rPr>
          <w:rFonts w:hint="eastAsia" w:ascii="宋体" w:hAnsi="宋体"/>
          <w:sz w:val="24"/>
        </w:rPr>
        <w:t>无锡市节能中心授予的“节能技术示范单位”奖牌，惠山区委、区政府授予公司“突出贡献企业”奖牌，惠山区文体局授予公司“文体优秀单位”奖牌。</w:t>
      </w:r>
    </w:p>
    <w:p>
      <w:pPr>
        <w:autoSpaceDN w:val="0"/>
        <w:spacing w:before="150" w:after="150" w:line="360" w:lineRule="auto"/>
        <w:ind w:firstLine="480" w:firstLineChars="200"/>
        <w:rPr>
          <w:rFonts w:ascii="宋体" w:hAnsi="宋体"/>
          <w:sz w:val="24"/>
        </w:rPr>
      </w:pPr>
      <w:r>
        <w:rPr>
          <w:rFonts w:hint="eastAsia" w:ascii="宋体" w:hAnsi="宋体"/>
          <w:sz w:val="24"/>
        </w:rPr>
        <w:t>近</w:t>
      </w:r>
      <w:r>
        <w:rPr>
          <w:rFonts w:ascii="宋体" w:hAnsi="宋体"/>
          <w:sz w:val="24"/>
        </w:rPr>
        <w:t>三</w:t>
      </w:r>
      <w:r>
        <w:rPr>
          <w:rFonts w:hint="eastAsia" w:ascii="宋体" w:hAnsi="宋体"/>
          <w:sz w:val="24"/>
        </w:rPr>
        <w:t>年公司每年定期委派20人以上骨干培训、吸收和借鉴先进的技术和经验，使他们开阔眼界，增长见识。公司积极推荐</w:t>
      </w:r>
      <w:r>
        <w:rPr>
          <w:rFonts w:ascii="宋体" w:hAnsi="宋体"/>
          <w:sz w:val="24"/>
        </w:rPr>
        <w:t>员工</w:t>
      </w:r>
      <w:r>
        <w:rPr>
          <w:rFonts w:hint="eastAsia" w:ascii="宋体" w:hAnsi="宋体"/>
          <w:sz w:val="24"/>
        </w:rPr>
        <w:t>参加“惠山</w:t>
      </w:r>
      <w:r>
        <w:rPr>
          <w:rFonts w:ascii="宋体" w:hAnsi="宋体"/>
          <w:sz w:val="24"/>
        </w:rPr>
        <w:t>区优秀党员</w:t>
      </w:r>
      <w:r>
        <w:rPr>
          <w:rFonts w:hint="eastAsia" w:ascii="宋体" w:hAnsi="宋体"/>
          <w:sz w:val="24"/>
        </w:rPr>
        <w:t>”等荣誉的评选，激发员工的创新热情和活力。</w:t>
      </w:r>
    </w:p>
    <w:p>
      <w:pPr>
        <w:pStyle w:val="3"/>
        <w:numPr>
          <w:ilvl w:val="0"/>
          <w:numId w:val="18"/>
        </w:numPr>
      </w:pPr>
      <w:bookmarkStart w:id="24" w:name="_Toc31080"/>
      <w:r>
        <w:rPr>
          <w:rFonts w:hint="eastAsia"/>
        </w:rPr>
        <w:t>质量/环境/职业健康安全</w:t>
      </w:r>
      <w:bookmarkEnd w:id="24"/>
    </w:p>
    <w:p>
      <w:pPr>
        <w:numPr>
          <w:ilvl w:val="0"/>
          <w:numId w:val="19"/>
        </w:numPr>
        <w:spacing w:line="360" w:lineRule="auto"/>
        <w:ind w:firstLine="643" w:firstLineChars="200"/>
        <w:outlineLvl w:val="1"/>
        <w:rPr>
          <w:rFonts w:ascii="宋体" w:hAnsi="宋体"/>
          <w:b/>
          <w:sz w:val="32"/>
          <w:szCs w:val="32"/>
        </w:rPr>
      </w:pPr>
      <w:bookmarkStart w:id="25" w:name="_Toc7282"/>
      <w:bookmarkStart w:id="26" w:name="_Toc522175452"/>
      <w:r>
        <w:rPr>
          <w:rFonts w:hint="eastAsia" w:ascii="宋体" w:hAnsi="宋体"/>
          <w:b/>
          <w:sz w:val="32"/>
          <w:szCs w:val="32"/>
        </w:rPr>
        <w:t>提要</w:t>
      </w:r>
      <w:bookmarkEnd w:id="25"/>
      <w:bookmarkEnd w:id="26"/>
    </w:p>
    <w:p>
      <w:pPr>
        <w:spacing w:line="360" w:lineRule="auto"/>
        <w:ind w:firstLine="480" w:firstLineChars="200"/>
        <w:rPr>
          <w:rFonts w:ascii="宋体" w:hAnsi="宋体"/>
          <w:sz w:val="24"/>
        </w:rPr>
      </w:pPr>
      <w:r>
        <w:rPr>
          <w:rFonts w:hint="eastAsia" w:ascii="宋体" w:hAnsi="宋体"/>
          <w:sz w:val="24"/>
        </w:rPr>
        <w:t>随着公司不断发展，对管理的需求显得尤为重要，这就需要建立适应公司管理的各项管理体系。为此依据ISO9001:2015/ ISO14001:2015/ISO45001:2018标准，建立质量、环境、职业健康安全一体化管理体系，并制定了《一体化管理手册》（以下简称“《手册》”），《手册》包含了质量、环境、职业健康安全管理所需的全部内容，将三个标准的共性部分整合，个性部分分类，并结合了本企业的特点，对公司质量、环境和职业健康安全三标一体化管理体系做了具体描述，是指导公司实施三标一体化的纲领性文件和行动准则。</w:t>
      </w:r>
    </w:p>
    <w:p>
      <w:pPr>
        <w:spacing w:line="360" w:lineRule="auto"/>
        <w:ind w:firstLine="480" w:firstLineChars="200"/>
        <w:rPr>
          <w:rFonts w:ascii="宋体" w:hAnsi="宋体"/>
          <w:sz w:val="24"/>
        </w:rPr>
      </w:pPr>
    </w:p>
    <w:p>
      <w:pPr>
        <w:numPr>
          <w:ilvl w:val="0"/>
          <w:numId w:val="19"/>
        </w:numPr>
        <w:spacing w:line="360" w:lineRule="auto"/>
        <w:ind w:firstLine="643" w:firstLineChars="200"/>
        <w:rPr>
          <w:rFonts w:ascii="宋体" w:hAnsi="宋体"/>
          <w:b/>
          <w:sz w:val="32"/>
          <w:szCs w:val="32"/>
        </w:rPr>
      </w:pPr>
      <w:r>
        <w:rPr>
          <w:rFonts w:hint="eastAsia" w:ascii="宋体" w:hAnsi="宋体"/>
          <w:b/>
          <w:sz w:val="32"/>
          <w:szCs w:val="32"/>
        </w:rPr>
        <w:t>质量/环境/职业健康安全方针</w:t>
      </w:r>
    </w:p>
    <w:p>
      <w:pPr>
        <w:spacing w:line="360" w:lineRule="auto"/>
        <w:ind w:left="420" w:leftChars="200"/>
        <w:rPr>
          <w:rFonts w:ascii="宋体" w:hAnsi="宋体"/>
          <w:b/>
          <w:sz w:val="32"/>
          <w:szCs w:val="32"/>
        </w:rPr>
      </w:pPr>
    </w:p>
    <w:p>
      <w:pPr>
        <w:spacing w:line="360" w:lineRule="auto"/>
        <w:ind w:left="400"/>
        <w:rPr>
          <w:rFonts w:ascii="宋体" w:hAnsi="宋体"/>
          <w:b/>
          <w:bCs/>
          <w:sz w:val="24"/>
          <w:szCs w:val="24"/>
        </w:rPr>
      </w:pPr>
      <w:r>
        <w:rPr>
          <w:rFonts w:hint="eastAsia" w:ascii="宋体" w:hAnsi="宋体" w:cs="宋体"/>
          <w:b/>
          <w:bCs/>
          <w:sz w:val="24"/>
          <w:szCs w:val="24"/>
        </w:rPr>
        <w:fldChar w:fldCharType="begin"/>
      </w:r>
      <w:r>
        <w:rPr>
          <w:rFonts w:hint="eastAsia" w:ascii="宋体" w:hAnsi="宋体" w:cs="宋体"/>
          <w:b/>
          <w:bCs/>
          <w:sz w:val="24"/>
          <w:szCs w:val="24"/>
        </w:rPr>
        <w:instrText xml:space="preserve"> = 1 \* GB2 \* MERGEFORMAT </w:instrText>
      </w:r>
      <w:r>
        <w:rPr>
          <w:rFonts w:hint="eastAsia" w:ascii="宋体" w:hAnsi="宋体" w:cs="宋体"/>
          <w:b/>
          <w:bCs/>
          <w:sz w:val="24"/>
          <w:szCs w:val="24"/>
        </w:rPr>
        <w:fldChar w:fldCharType="separate"/>
      </w:r>
      <w:r>
        <w:rPr>
          <w:rFonts w:hint="eastAsia" w:ascii="宋体" w:hAnsi="宋体" w:cs="宋体"/>
          <w:b/>
          <w:bCs/>
          <w:sz w:val="24"/>
          <w:szCs w:val="24"/>
        </w:rPr>
        <w:t>⑴</w:t>
      </w:r>
      <w:r>
        <w:rPr>
          <w:rFonts w:hint="eastAsia" w:ascii="宋体" w:hAnsi="宋体" w:cs="宋体"/>
          <w:b/>
          <w:bCs/>
          <w:sz w:val="24"/>
          <w:szCs w:val="24"/>
        </w:rPr>
        <w:fldChar w:fldCharType="end"/>
      </w:r>
      <w:r>
        <w:rPr>
          <w:rFonts w:hint="eastAsia" w:ascii="宋体" w:hAnsi="宋体"/>
          <w:b/>
          <w:bCs/>
          <w:sz w:val="24"/>
          <w:szCs w:val="24"/>
        </w:rPr>
        <w:t>质量方针及内涵：</w:t>
      </w:r>
    </w:p>
    <w:p>
      <w:pPr>
        <w:spacing w:line="360" w:lineRule="auto"/>
        <w:ind w:firstLine="480"/>
        <w:jc w:val="left"/>
        <w:rPr>
          <w:bCs/>
          <w:color w:val="000000"/>
          <w:sz w:val="24"/>
        </w:rPr>
      </w:pPr>
      <w:r>
        <w:rPr>
          <w:rFonts w:hint="eastAsia"/>
          <w:b/>
          <w:color w:val="000000"/>
          <w:sz w:val="24"/>
        </w:rPr>
        <w:t>方针：</w:t>
      </w:r>
      <w:r>
        <w:rPr>
          <w:rFonts w:hint="eastAsia"/>
          <w:bCs/>
          <w:color w:val="000000"/>
          <w:sz w:val="24"/>
        </w:rPr>
        <w:t>以市场为导向，追求顾客满意；</w:t>
      </w:r>
    </w:p>
    <w:p>
      <w:pPr>
        <w:spacing w:line="500" w:lineRule="exact"/>
        <w:ind w:firstLine="1200" w:firstLineChars="500"/>
        <w:jc w:val="left"/>
        <w:rPr>
          <w:bCs/>
          <w:color w:val="000000"/>
          <w:sz w:val="24"/>
        </w:rPr>
      </w:pPr>
      <w:r>
        <w:rPr>
          <w:rFonts w:hint="eastAsia"/>
          <w:bCs/>
          <w:color w:val="000000"/>
          <w:sz w:val="24"/>
        </w:rPr>
        <w:t>以管理为基础，实现最高绩效；</w:t>
      </w:r>
    </w:p>
    <w:p>
      <w:pPr>
        <w:spacing w:line="500" w:lineRule="exact"/>
        <w:ind w:firstLine="1200" w:firstLineChars="500"/>
        <w:jc w:val="left"/>
        <w:rPr>
          <w:bCs/>
          <w:color w:val="000000"/>
          <w:sz w:val="24"/>
        </w:rPr>
      </w:pPr>
      <w:r>
        <w:rPr>
          <w:rFonts w:hint="eastAsia"/>
          <w:bCs/>
          <w:color w:val="000000"/>
          <w:sz w:val="24"/>
        </w:rPr>
        <w:t>以优质为目标，持续改善创新。</w:t>
      </w:r>
    </w:p>
    <w:p>
      <w:pPr>
        <w:spacing w:line="360" w:lineRule="auto"/>
        <w:ind w:firstLine="480"/>
        <w:rPr>
          <w:rFonts w:ascii="宋体" w:hAnsi="宋体"/>
          <w:b/>
          <w:bCs/>
          <w:sz w:val="24"/>
          <w:szCs w:val="24"/>
        </w:rPr>
      </w:pPr>
      <w:r>
        <w:rPr>
          <w:rFonts w:hint="eastAsia" w:ascii="宋体" w:hAnsi="宋体"/>
          <w:b/>
          <w:bCs/>
          <w:sz w:val="24"/>
          <w:szCs w:val="24"/>
        </w:rPr>
        <w:t>内涵：</w:t>
      </w:r>
    </w:p>
    <w:p>
      <w:pPr>
        <w:spacing w:line="360" w:lineRule="auto"/>
        <w:ind w:firstLine="480"/>
        <w:rPr>
          <w:b/>
          <w:color w:val="000000"/>
          <w:sz w:val="24"/>
        </w:rPr>
      </w:pPr>
      <w:r>
        <w:rPr>
          <w:rFonts w:hint="eastAsia" w:ascii="宋体" w:hAnsi="宋体"/>
          <w:sz w:val="24"/>
          <w:szCs w:val="24"/>
        </w:rPr>
        <w:t>提升顾客满意是企业永恒的追求，公司以市场为导向，生产满足客户不断创新、不断增长需求的产品。</w:t>
      </w:r>
    </w:p>
    <w:p>
      <w:pPr>
        <w:spacing w:line="360" w:lineRule="auto"/>
        <w:ind w:firstLine="480" w:firstLineChars="200"/>
        <w:rPr>
          <w:rFonts w:ascii="宋体" w:hAnsi="宋体"/>
          <w:sz w:val="24"/>
          <w:szCs w:val="24"/>
        </w:rPr>
      </w:pPr>
      <w:r>
        <w:rPr>
          <w:rFonts w:hint="eastAsia" w:ascii="宋体" w:hAnsi="宋体"/>
          <w:sz w:val="24"/>
          <w:szCs w:val="24"/>
        </w:rPr>
        <w:t>实现最佳绩效是企业永恒的主题，通过夯实企业管理为基础，控制成本，使利益最大化，让利于社会、让利于顾客。</w:t>
      </w:r>
    </w:p>
    <w:p>
      <w:pPr>
        <w:spacing w:line="360" w:lineRule="auto"/>
        <w:ind w:left="19" w:leftChars="9" w:firstLine="547" w:firstLineChars="228"/>
        <w:jc w:val="left"/>
        <w:rPr>
          <w:rFonts w:ascii="宋体" w:hAnsi="宋体"/>
          <w:sz w:val="24"/>
          <w:szCs w:val="24"/>
        </w:rPr>
      </w:pPr>
      <w:r>
        <w:rPr>
          <w:rFonts w:hint="eastAsia" w:ascii="宋体" w:hAnsi="宋体"/>
          <w:sz w:val="24"/>
          <w:szCs w:val="24"/>
        </w:rPr>
        <w:t>不断创新是企业永恒的动力，企业致力于机制创新、技术创新和管理创新，使企业充满活力，生产优质的产品，生产客户不断需求的各类产品，达到共赢之目的。</w:t>
      </w:r>
    </w:p>
    <w:p>
      <w:pPr>
        <w:spacing w:line="360" w:lineRule="auto"/>
        <w:ind w:left="19" w:leftChars="9" w:firstLine="547" w:firstLineChars="228"/>
        <w:jc w:val="left"/>
        <w:rPr>
          <w:rFonts w:ascii="宋体" w:hAnsi="宋体"/>
          <w:sz w:val="24"/>
          <w:szCs w:val="24"/>
        </w:rPr>
      </w:pPr>
    </w:p>
    <w:p>
      <w:pPr>
        <w:spacing w:line="360" w:lineRule="auto"/>
        <w:ind w:left="19" w:leftChars="9" w:firstLine="547" w:firstLineChars="228"/>
        <w:jc w:val="left"/>
        <w:rPr>
          <w:rFonts w:ascii="宋体" w:hAnsi="宋体"/>
          <w:sz w:val="24"/>
          <w:szCs w:val="24"/>
        </w:rPr>
      </w:pPr>
    </w:p>
    <w:p>
      <w:pPr>
        <w:spacing w:line="360" w:lineRule="auto"/>
        <w:ind w:left="19" w:leftChars="9" w:firstLine="547" w:firstLineChars="228"/>
        <w:jc w:val="left"/>
        <w:rPr>
          <w:rFonts w:ascii="宋体" w:hAnsi="宋体"/>
          <w:sz w:val="24"/>
          <w:szCs w:val="24"/>
        </w:rPr>
      </w:pPr>
    </w:p>
    <w:p>
      <w:pPr>
        <w:spacing w:line="360" w:lineRule="auto"/>
        <w:ind w:left="4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 2 \* GB2 \* MERGEFORMAT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⑵</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t>环保方针及内涵：</w:t>
      </w:r>
    </w:p>
    <w:p>
      <w:pPr>
        <w:spacing w:line="500" w:lineRule="exact"/>
        <w:ind w:left="420"/>
        <w:rPr>
          <w:bCs/>
          <w:color w:val="000000"/>
          <w:sz w:val="24"/>
        </w:rPr>
      </w:pPr>
      <w:r>
        <w:rPr>
          <w:rFonts w:hint="eastAsia"/>
          <w:b/>
          <w:color w:val="000000"/>
          <w:sz w:val="24"/>
        </w:rPr>
        <w:t>方针：</w:t>
      </w:r>
      <w:r>
        <w:rPr>
          <w:rFonts w:hint="eastAsia"/>
          <w:bCs/>
          <w:color w:val="000000"/>
          <w:sz w:val="24"/>
        </w:rPr>
        <w:t>遵循环保法律法规，并遵守其他要求事项；</w:t>
      </w:r>
    </w:p>
    <w:p>
      <w:pPr>
        <w:spacing w:line="500" w:lineRule="exact"/>
        <w:ind w:left="420" w:firstLine="720" w:firstLineChars="300"/>
        <w:rPr>
          <w:bCs/>
          <w:color w:val="000000"/>
          <w:sz w:val="24"/>
        </w:rPr>
      </w:pPr>
      <w:r>
        <w:rPr>
          <w:rFonts w:hint="eastAsia"/>
          <w:bCs/>
          <w:color w:val="000000"/>
          <w:sz w:val="24"/>
        </w:rPr>
        <w:t>发展高效率利用资源的技术，留给子孙更多的资源及更干净的生活环境。</w:t>
      </w:r>
    </w:p>
    <w:p>
      <w:pPr>
        <w:spacing w:line="360" w:lineRule="auto"/>
        <w:ind w:firstLine="482" w:firstLineChars="200"/>
        <w:rPr>
          <w:rFonts w:ascii="宋体" w:hAnsi="宋体"/>
          <w:b/>
          <w:sz w:val="24"/>
        </w:rPr>
      </w:pPr>
      <w:r>
        <w:rPr>
          <w:rFonts w:hint="eastAsia" w:ascii="宋体" w:hAnsi="宋体"/>
          <w:b/>
          <w:sz w:val="24"/>
        </w:rPr>
        <w:t>内涵：</w:t>
      </w:r>
    </w:p>
    <w:p>
      <w:pPr>
        <w:spacing w:line="360" w:lineRule="auto"/>
        <w:ind w:left="498" w:leftChars="237" w:right="248" w:rightChars="118" w:firstLine="480" w:firstLineChars="200"/>
        <w:rPr>
          <w:rFonts w:ascii="宋体" w:hAnsi="宋体"/>
          <w:sz w:val="24"/>
          <w:szCs w:val="24"/>
        </w:rPr>
      </w:pPr>
      <w:r>
        <w:rPr>
          <w:rFonts w:hint="eastAsia" w:ascii="宋体" w:hAnsi="宋体"/>
          <w:sz w:val="24"/>
          <w:szCs w:val="24"/>
        </w:rPr>
        <w:t>在生产、活动过程中通过技术改造和加强管理，减少污染物排放，控制可能造成的环境影响，合理使用资源。本公司承诺：</w:t>
      </w:r>
    </w:p>
    <w:p>
      <w:pPr>
        <w:numPr>
          <w:ilvl w:val="0"/>
          <w:numId w:val="20"/>
        </w:numPr>
        <w:spacing w:line="360" w:lineRule="auto"/>
        <w:ind w:right="248" w:rightChars="118"/>
        <w:rPr>
          <w:rFonts w:ascii="宋体" w:hAnsi="宋体"/>
          <w:sz w:val="24"/>
          <w:szCs w:val="24"/>
        </w:rPr>
      </w:pPr>
      <w:r>
        <w:rPr>
          <w:rFonts w:hint="eastAsia" w:ascii="宋体" w:hAnsi="宋体"/>
          <w:sz w:val="24"/>
          <w:szCs w:val="24"/>
        </w:rPr>
        <w:t>遵守国家和地方的法律、法规和其他规定的要求，严格执行管理体系所有的规定；</w:t>
      </w:r>
    </w:p>
    <w:p>
      <w:pPr>
        <w:numPr>
          <w:ilvl w:val="0"/>
          <w:numId w:val="20"/>
        </w:numPr>
        <w:spacing w:line="360" w:lineRule="auto"/>
        <w:ind w:right="248" w:rightChars="118"/>
        <w:rPr>
          <w:rFonts w:ascii="宋体" w:hAnsi="宋体"/>
          <w:sz w:val="24"/>
          <w:szCs w:val="24"/>
        </w:rPr>
      </w:pPr>
      <w:r>
        <w:rPr>
          <w:rFonts w:hint="eastAsia" w:ascii="宋体" w:hAnsi="宋体"/>
          <w:sz w:val="24"/>
          <w:szCs w:val="24"/>
        </w:rPr>
        <w:t>减少或控制废物的产生和排放；</w:t>
      </w:r>
    </w:p>
    <w:p>
      <w:pPr>
        <w:numPr>
          <w:ilvl w:val="0"/>
          <w:numId w:val="20"/>
        </w:numPr>
        <w:spacing w:line="360" w:lineRule="auto"/>
        <w:ind w:right="248" w:rightChars="118"/>
        <w:rPr>
          <w:rFonts w:ascii="宋体" w:hAnsi="宋体"/>
          <w:sz w:val="24"/>
          <w:szCs w:val="24"/>
        </w:rPr>
      </w:pPr>
      <w:r>
        <w:rPr>
          <w:rFonts w:hint="eastAsia" w:ascii="宋体" w:hAnsi="宋体"/>
          <w:sz w:val="24"/>
          <w:szCs w:val="24"/>
        </w:rPr>
        <w:t>努力实现环境管理体系和环境行为的持续改进；</w:t>
      </w:r>
    </w:p>
    <w:p>
      <w:pPr>
        <w:numPr>
          <w:ilvl w:val="0"/>
          <w:numId w:val="20"/>
        </w:numPr>
        <w:spacing w:line="360" w:lineRule="auto"/>
        <w:ind w:right="248" w:rightChars="118"/>
        <w:rPr>
          <w:rFonts w:ascii="宋体" w:hAnsi="宋体"/>
          <w:sz w:val="24"/>
          <w:szCs w:val="24"/>
        </w:rPr>
      </w:pPr>
      <w:r>
        <w:rPr>
          <w:rFonts w:hint="eastAsia" w:ascii="宋体" w:hAnsi="宋体"/>
          <w:sz w:val="24"/>
          <w:szCs w:val="24"/>
        </w:rPr>
        <w:t>采用新的工艺、技术和方法，开展节能降耗，不断改善环境绩效；</w:t>
      </w:r>
    </w:p>
    <w:p>
      <w:pPr>
        <w:numPr>
          <w:ilvl w:val="0"/>
          <w:numId w:val="20"/>
        </w:numPr>
        <w:spacing w:line="360" w:lineRule="auto"/>
        <w:ind w:right="248" w:rightChars="118"/>
        <w:rPr>
          <w:rFonts w:ascii="宋体" w:hAnsi="宋体"/>
          <w:sz w:val="24"/>
          <w:szCs w:val="24"/>
        </w:rPr>
      </w:pPr>
      <w:r>
        <w:rPr>
          <w:rFonts w:hint="eastAsia" w:ascii="宋体" w:hAnsi="宋体"/>
          <w:sz w:val="24"/>
          <w:szCs w:val="24"/>
        </w:rPr>
        <w:t>提高全体员工的环境意识，旨在保护和改善自然环境。</w:t>
      </w:r>
    </w:p>
    <w:p>
      <w:pPr>
        <w:spacing w:line="360" w:lineRule="auto"/>
        <w:ind w:left="960" w:right="248" w:rightChars="118"/>
        <w:rPr>
          <w:rFonts w:ascii="宋体" w:hAnsi="宋体"/>
          <w:sz w:val="24"/>
          <w:szCs w:val="24"/>
        </w:rPr>
      </w:pPr>
    </w:p>
    <w:p>
      <w:pPr>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 3 \* GB2 \* MERGEFORMAT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⑶</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t>职业健康安全方针及内涵：</w:t>
      </w:r>
    </w:p>
    <w:p>
      <w:pPr>
        <w:spacing w:line="500" w:lineRule="exact"/>
        <w:ind w:left="420"/>
        <w:rPr>
          <w:rFonts w:ascii="宋体" w:hAnsi="宋体" w:cs="宋体"/>
          <w:bCs/>
          <w:sz w:val="24"/>
          <w:szCs w:val="24"/>
        </w:rPr>
      </w:pPr>
      <w:r>
        <w:rPr>
          <w:rFonts w:hint="eastAsia" w:ascii="宋体" w:hAnsi="宋体" w:cs="宋体"/>
          <w:b/>
          <w:bCs/>
          <w:sz w:val="24"/>
          <w:szCs w:val="24"/>
        </w:rPr>
        <w:t>方针：</w:t>
      </w:r>
      <w:r>
        <w:rPr>
          <w:rFonts w:hint="eastAsia" w:ascii="宋体" w:hAnsi="宋体" w:cs="宋体"/>
          <w:bCs/>
          <w:sz w:val="24"/>
          <w:szCs w:val="24"/>
        </w:rPr>
        <w:t>落实责任，全员参与，防治结合；</w:t>
      </w:r>
    </w:p>
    <w:p>
      <w:pPr>
        <w:spacing w:line="500" w:lineRule="exact"/>
        <w:ind w:left="420" w:firstLine="720" w:firstLineChars="300"/>
        <w:rPr>
          <w:rFonts w:ascii="宋体" w:hAnsi="宋体" w:cs="宋体"/>
          <w:bCs/>
          <w:sz w:val="24"/>
          <w:szCs w:val="24"/>
        </w:rPr>
      </w:pPr>
      <w:r>
        <w:rPr>
          <w:rFonts w:hint="eastAsia" w:ascii="宋体" w:hAnsi="宋体" w:cs="宋体"/>
          <w:bCs/>
          <w:sz w:val="24"/>
          <w:szCs w:val="24"/>
        </w:rPr>
        <w:t>安全生产，保障健康，减少风险；</w:t>
      </w:r>
    </w:p>
    <w:p>
      <w:pPr>
        <w:spacing w:line="500" w:lineRule="exact"/>
        <w:ind w:left="420" w:firstLine="720" w:firstLineChars="300"/>
        <w:rPr>
          <w:rFonts w:ascii="宋体" w:hAnsi="宋体" w:cs="宋体"/>
          <w:bCs/>
          <w:sz w:val="24"/>
        </w:rPr>
      </w:pPr>
      <w:r>
        <w:rPr>
          <w:rFonts w:hint="eastAsia" w:ascii="宋体" w:hAnsi="宋体" w:cs="宋体"/>
          <w:bCs/>
          <w:sz w:val="24"/>
          <w:szCs w:val="24"/>
        </w:rPr>
        <w:t>以人为本，遵守法规，持续改进。</w:t>
      </w:r>
    </w:p>
    <w:p>
      <w:pPr>
        <w:spacing w:line="360" w:lineRule="auto"/>
        <w:ind w:firstLine="482" w:firstLineChars="200"/>
        <w:jc w:val="left"/>
        <w:rPr>
          <w:rFonts w:ascii="宋体" w:hAnsi="宋体" w:cs="宋体"/>
          <w:sz w:val="24"/>
          <w:szCs w:val="24"/>
        </w:rPr>
      </w:pPr>
      <w:r>
        <w:rPr>
          <w:rFonts w:hint="eastAsia" w:ascii="宋体" w:hAnsi="宋体" w:cs="宋体"/>
          <w:b/>
          <w:bCs/>
          <w:sz w:val="24"/>
          <w:szCs w:val="24"/>
        </w:rPr>
        <w:t>内涵：</w:t>
      </w:r>
    </w:p>
    <w:p>
      <w:pPr>
        <w:spacing w:line="360" w:lineRule="auto"/>
        <w:ind w:firstLine="480" w:firstLineChars="200"/>
        <w:jc w:val="left"/>
        <w:rPr>
          <w:sz w:val="24"/>
          <w:szCs w:val="24"/>
        </w:rPr>
      </w:pPr>
      <w:r>
        <w:rPr>
          <w:rFonts w:hint="eastAsia"/>
          <w:sz w:val="24"/>
          <w:szCs w:val="24"/>
        </w:rPr>
        <w:t>以人为本是企业持续发展的核心，从员工的需求、安全和健康出发，为员工创造一个安全舒适的工作环境，</w:t>
      </w:r>
      <w:r>
        <w:rPr>
          <w:rFonts w:ascii="宋体" w:hAnsi="宋体"/>
          <w:sz w:val="24"/>
          <w:szCs w:val="24"/>
        </w:rPr>
        <w:t>建立安全操作方法，保证有效的安全培训</w:t>
      </w:r>
      <w:r>
        <w:rPr>
          <w:rFonts w:hint="eastAsia" w:ascii="宋体" w:hAnsi="宋体"/>
          <w:sz w:val="24"/>
          <w:szCs w:val="24"/>
        </w:rPr>
        <w:t>和防护</w:t>
      </w:r>
      <w:r>
        <w:rPr>
          <w:rFonts w:ascii="宋体" w:hAnsi="宋体"/>
          <w:sz w:val="24"/>
          <w:szCs w:val="24"/>
        </w:rPr>
        <w:t>，制定安全责任制，引导员工关心安</w:t>
      </w:r>
      <w:r>
        <w:rPr>
          <w:rFonts w:hint="eastAsia" w:ascii="宋体" w:hAnsi="宋体"/>
          <w:sz w:val="24"/>
          <w:szCs w:val="24"/>
        </w:rPr>
        <w:t>全，</w:t>
      </w:r>
      <w:r>
        <w:rPr>
          <w:rFonts w:hint="eastAsia"/>
          <w:sz w:val="24"/>
          <w:szCs w:val="24"/>
        </w:rPr>
        <w:t>才能发挥最大的生产效能。</w:t>
      </w:r>
    </w:p>
    <w:p>
      <w:pPr>
        <w:spacing w:line="360" w:lineRule="auto"/>
        <w:ind w:firstLine="480" w:firstLineChars="200"/>
        <w:rPr>
          <w:rFonts w:ascii="宋体" w:hAnsi="宋体"/>
          <w:sz w:val="24"/>
          <w:szCs w:val="24"/>
        </w:rPr>
      </w:pPr>
      <w:r>
        <w:rPr>
          <w:rFonts w:hint="eastAsia" w:ascii="宋体" w:hAnsi="宋体"/>
          <w:sz w:val="24"/>
          <w:szCs w:val="24"/>
        </w:rPr>
        <w:t>严格遵守国家关于职业健康安全方面的法律、法规、安全管理标准和技术规范，履行向国家主管部门和社会的承诺；提高员工的安全生产意识，规范企业的行为，实现职业健康安全绩效的持续改进，为企业的持续发展保驾护航。</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jc w:val="center"/>
        <w:rPr>
          <w:rFonts w:ascii="宋体" w:hAnsi="宋体"/>
          <w:sz w:val="24"/>
        </w:rPr>
      </w:pPr>
      <w:r>
        <w:rPr>
          <w:rFonts w:hint="eastAsia" w:ascii="宋体" w:hAnsi="宋体" w:cs="宋体"/>
          <w:b/>
          <w:sz w:val="28"/>
          <w:szCs w:val="28"/>
        </w:rPr>
        <w:t>质量、环境、职业健康安全管理体系职能分配表</w:t>
      </w: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5732780" cy="3404235"/>
            <wp:effectExtent l="0" t="0" r="1270" b="5715"/>
            <wp:docPr id="33" name="图片 1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无标题"/>
                    <pic:cNvPicPr>
                      <a:picLocks noChangeAspect="1"/>
                    </pic:cNvPicPr>
                  </pic:nvPicPr>
                  <pic:blipFill>
                    <a:blip r:embed="rId16">
                      <a:lum/>
                    </a:blip>
                    <a:stretch>
                      <a:fillRect/>
                    </a:stretch>
                  </pic:blipFill>
                  <pic:spPr>
                    <a:xfrm>
                      <a:off x="0" y="0"/>
                      <a:ext cx="5732780" cy="3404235"/>
                    </a:xfrm>
                    <a:prstGeom prst="rect">
                      <a:avLst/>
                    </a:prstGeom>
                    <a:noFill/>
                    <a:ln w="9525">
                      <a:noFill/>
                      <a:miter/>
                    </a:ln>
                  </pic:spPr>
                </pic:pic>
              </a:graphicData>
            </a:graphic>
          </wp:inline>
        </w:drawing>
      </w:r>
    </w:p>
    <w:p>
      <w:pPr>
        <w:widowControl/>
        <w:jc w:val="left"/>
      </w:pPr>
      <w:r>
        <w:rPr>
          <w:rFonts w:hint="eastAsia"/>
        </w:rPr>
        <w:drawing>
          <wp:inline distT="0" distB="0" distL="114300" distR="114300">
            <wp:extent cx="5728970" cy="3641090"/>
            <wp:effectExtent l="0" t="0" r="5080" b="16510"/>
            <wp:docPr id="34"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无标题"/>
                    <pic:cNvPicPr>
                      <a:picLocks noChangeAspect="1"/>
                    </pic:cNvPicPr>
                  </pic:nvPicPr>
                  <pic:blipFill>
                    <a:blip r:embed="rId17">
                      <a:lum/>
                    </a:blip>
                    <a:stretch>
                      <a:fillRect/>
                    </a:stretch>
                  </pic:blipFill>
                  <pic:spPr>
                    <a:xfrm>
                      <a:off x="0" y="0"/>
                      <a:ext cx="5728970" cy="3641090"/>
                    </a:xfrm>
                    <a:prstGeom prst="rect">
                      <a:avLst/>
                    </a:prstGeom>
                    <a:noFill/>
                    <a:ln w="9525">
                      <a:noFill/>
                      <a:miter/>
                    </a:ln>
                  </pic:spPr>
                </pic:pic>
              </a:graphicData>
            </a:graphic>
          </wp:inline>
        </w:drawing>
      </w:r>
    </w:p>
    <w:p>
      <w:pPr>
        <w:widowControl/>
        <w:jc w:val="left"/>
        <w:rPr>
          <w:rFonts w:ascii="宋体" w:hAnsi="宋体" w:cs="宋体"/>
          <w:kern w:val="0"/>
          <w:sz w:val="24"/>
          <w:szCs w:val="24"/>
        </w:rPr>
      </w:pPr>
    </w:p>
    <w:p>
      <w:pPr>
        <w:widowControl/>
        <w:jc w:val="left"/>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drawing>
          <wp:inline distT="0" distB="0" distL="114300" distR="114300">
            <wp:extent cx="5717540" cy="3295015"/>
            <wp:effectExtent l="0" t="0" r="16510" b="635"/>
            <wp:docPr id="35" name="图片 1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无标题"/>
                    <pic:cNvPicPr>
                      <a:picLocks noChangeAspect="1"/>
                    </pic:cNvPicPr>
                  </pic:nvPicPr>
                  <pic:blipFill>
                    <a:blip r:embed="rId18">
                      <a:lum/>
                    </a:blip>
                    <a:stretch>
                      <a:fillRect/>
                    </a:stretch>
                  </pic:blipFill>
                  <pic:spPr>
                    <a:xfrm>
                      <a:off x="0" y="0"/>
                      <a:ext cx="5717540" cy="3295015"/>
                    </a:xfrm>
                    <a:prstGeom prst="rect">
                      <a:avLst/>
                    </a:prstGeom>
                    <a:noFill/>
                    <a:ln w="9525">
                      <a:noFill/>
                      <a:miter/>
                    </a:ln>
                  </pic:spPr>
                </pic:pic>
              </a:graphicData>
            </a:graphic>
          </wp:inline>
        </w:drawing>
      </w:r>
    </w:p>
    <w:p>
      <w:pPr>
        <w:spacing w:line="360" w:lineRule="auto"/>
        <w:ind w:left="481" w:leftChars="229" w:firstLine="22" w:firstLineChars="7"/>
        <w:outlineLvl w:val="1"/>
        <w:rPr>
          <w:rFonts w:ascii="宋体" w:hAnsi="宋体"/>
          <w:b/>
          <w:sz w:val="32"/>
          <w:szCs w:val="32"/>
        </w:rPr>
      </w:pPr>
      <w:bookmarkStart w:id="27" w:name="_Toc14242"/>
      <w:bookmarkStart w:id="28" w:name="_Toc522175453"/>
    </w:p>
    <w:p>
      <w:pPr>
        <w:spacing w:line="360" w:lineRule="auto"/>
        <w:ind w:left="481" w:leftChars="229" w:firstLine="22" w:firstLineChars="7"/>
        <w:outlineLvl w:val="1"/>
        <w:rPr>
          <w:rFonts w:ascii="宋体" w:hAnsi="宋体"/>
          <w:sz w:val="32"/>
          <w:szCs w:val="32"/>
        </w:rPr>
      </w:pPr>
      <w:r>
        <w:rPr>
          <w:rFonts w:hint="eastAsia" w:ascii="宋体" w:hAnsi="宋体"/>
          <w:b/>
          <w:sz w:val="32"/>
          <w:szCs w:val="32"/>
        </w:rPr>
        <w:t>3、组织的岗位、职责和权限</w:t>
      </w:r>
      <w:bookmarkEnd w:id="27"/>
    </w:p>
    <w:p>
      <w:pPr>
        <w:spacing w:line="360" w:lineRule="auto"/>
        <w:ind w:firstLine="458" w:firstLineChars="191"/>
        <w:outlineLvl w:val="1"/>
        <w:rPr>
          <w:rFonts w:ascii="宋体" w:hAnsi="宋体"/>
          <w:sz w:val="24"/>
        </w:rPr>
      </w:pPr>
      <w:bookmarkStart w:id="29" w:name="_Toc14224"/>
      <w:r>
        <w:rPr>
          <w:rFonts w:hint="eastAsia" w:ascii="宋体" w:hAnsi="宋体" w:cs="宋体"/>
          <w:bCs/>
          <w:sz w:val="24"/>
          <w:szCs w:val="21"/>
        </w:rPr>
        <w:t>最高管理者根据经营管理需要确保组织内相关岗位的职责、权限得到分派、沟通和理解，人资应以书面文件（岗位职责与适任条件）规定各部门及各级人员的职责、权限和相互关系，并发放到相关人员。公司组织机构及职责的确定和调整变更由公司最高管理层负责评审并确定，经总经理批准后以文件形式通知各有关部门（人员）</w:t>
      </w:r>
      <w:r>
        <w:rPr>
          <w:rFonts w:hint="eastAsia" w:ascii="宋体" w:hAnsi="宋体"/>
          <w:sz w:val="24"/>
        </w:rPr>
        <w:t>。保证管理体系（职业健康安全、生产安全、工作/产品质量和环境控制）的有效运行和各项工作有序的衔接。</w:t>
      </w:r>
      <w:bookmarkEnd w:id="29"/>
    </w:p>
    <w:p>
      <w:pPr>
        <w:spacing w:line="360" w:lineRule="auto"/>
        <w:ind w:firstLine="643" w:firstLineChars="200"/>
        <w:outlineLvl w:val="1"/>
        <w:rPr>
          <w:rFonts w:ascii="宋体" w:hAnsi="宋体"/>
          <w:b/>
          <w:sz w:val="32"/>
          <w:szCs w:val="32"/>
        </w:rPr>
      </w:pPr>
      <w:bookmarkStart w:id="30" w:name="_Toc2086"/>
    </w:p>
    <w:p>
      <w:pPr>
        <w:spacing w:line="360" w:lineRule="auto"/>
        <w:ind w:firstLine="643" w:firstLineChars="200"/>
        <w:outlineLvl w:val="1"/>
        <w:rPr>
          <w:rFonts w:ascii="宋体" w:hAnsi="宋体"/>
          <w:b/>
          <w:sz w:val="32"/>
          <w:szCs w:val="32"/>
        </w:rPr>
      </w:pPr>
      <w:r>
        <w:rPr>
          <w:rFonts w:hint="eastAsia" w:ascii="宋体" w:hAnsi="宋体"/>
          <w:b/>
          <w:sz w:val="32"/>
          <w:szCs w:val="32"/>
        </w:rPr>
        <w:t>4、领导与承诺</w:t>
      </w:r>
      <w:bookmarkEnd w:id="30"/>
    </w:p>
    <w:p>
      <w:pPr>
        <w:spacing w:line="360" w:lineRule="auto"/>
        <w:ind w:firstLine="480" w:firstLineChars="200"/>
        <w:rPr>
          <w:sz w:val="24"/>
        </w:rPr>
      </w:pPr>
      <w:r>
        <w:rPr>
          <w:bCs/>
          <w:sz w:val="24"/>
        </w:rPr>
        <w:t>最高管理者</w:t>
      </w:r>
      <w:r>
        <w:rPr>
          <w:rFonts w:hint="eastAsia"/>
          <w:bCs/>
          <w:sz w:val="24"/>
        </w:rPr>
        <w:t>应通过以下方式证明其对管理体系的领导作用和承诺：</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a</w:t>
      </w:r>
      <w:r>
        <w:rPr>
          <w:rFonts w:ascii="Times New Roman" w:hAnsi="Times New Roman"/>
          <w:sz w:val="24"/>
          <w:szCs w:val="20"/>
        </w:rPr>
        <w:t>）</w:t>
      </w:r>
      <w:r>
        <w:rPr>
          <w:rFonts w:hint="eastAsia" w:ascii="Times New Roman" w:hAnsi="Times New Roman"/>
          <w:sz w:val="24"/>
          <w:szCs w:val="20"/>
        </w:rPr>
        <w:t>对管理体系的有效性负责；</w:t>
      </w:r>
      <w:r>
        <w:rPr>
          <w:rFonts w:hint="eastAsia" w:ascii="宋体" w:hAnsi="宋体" w:cs="宋体"/>
          <w:color w:val="000000"/>
          <w:sz w:val="24"/>
          <w:szCs w:val="24"/>
        </w:rPr>
        <w:t>对保护员工与工作相关的健康和安全承担全部职责和责任；</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b) 确保制定的三体系方针和目标符合本公司的组织环境和战略方向；</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c）确保三体系体系要求与公司业务过程相结合；</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d）促进三体系使用过程方法和基于风险的方法；</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e）确保三体系运行获得所需的资源；</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f）确保能在内外部沟通有效的三体系管理和符合三体系要求的重要性；</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g）指导支持员工努力提高三体系的有效性；</w:t>
      </w:r>
      <w:r>
        <w:rPr>
          <w:rFonts w:hint="eastAsia" w:ascii="宋体" w:hAnsi="宋体" w:cs="宋体"/>
          <w:color w:val="000000"/>
          <w:sz w:val="24"/>
          <w:szCs w:val="24"/>
        </w:rPr>
        <w:t>通过协商、识别以及消除妨碍参与的障碍或障碍物，确保员工及员工代表的积极参与；</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h）确保实现三体系的预期结果；</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i）促进三体系的持续改进；</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j）支持其他管理者履行其相关领域的职责；</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k）支持健康安全委员会的建立和运行；</w:t>
      </w:r>
    </w:p>
    <w:p>
      <w:pPr>
        <w:pStyle w:val="6"/>
        <w:spacing w:after="0" w:line="360" w:lineRule="auto"/>
        <w:ind w:firstLine="458" w:firstLineChars="191"/>
        <w:rPr>
          <w:rFonts w:ascii="Times New Roman" w:hAnsi="Times New Roman"/>
          <w:sz w:val="24"/>
          <w:szCs w:val="20"/>
        </w:rPr>
      </w:pPr>
      <w:r>
        <w:rPr>
          <w:rFonts w:hint="eastAsia" w:ascii="Times New Roman" w:hAnsi="Times New Roman"/>
          <w:sz w:val="24"/>
          <w:szCs w:val="20"/>
        </w:rPr>
        <w:t>l）</w:t>
      </w:r>
      <w:r>
        <w:rPr>
          <w:rFonts w:hint="eastAsia" w:ascii="宋体" w:hAnsi="宋体" w:cs="宋体"/>
          <w:color w:val="000000"/>
          <w:sz w:val="24"/>
          <w:szCs w:val="24"/>
        </w:rPr>
        <w:t>保护工作人员不因报告事件、危险源、风险和机遇而遭受报复；</w:t>
      </w:r>
    </w:p>
    <w:p>
      <w:pPr>
        <w:spacing w:line="360" w:lineRule="auto"/>
        <w:ind w:firstLine="458" w:firstLineChars="191"/>
        <w:outlineLvl w:val="1"/>
        <w:rPr>
          <w:rFonts w:ascii="宋体" w:hAnsi="宋体"/>
          <w:sz w:val="24"/>
        </w:rPr>
      </w:pPr>
      <w:bookmarkStart w:id="31" w:name="_Toc30167"/>
      <w:r>
        <w:rPr>
          <w:rFonts w:hint="eastAsia"/>
          <w:sz w:val="24"/>
        </w:rPr>
        <w:t>m）在组织内培养、引导和宣传支持职业健康安全管理体系预期结果的文化。</w:t>
      </w:r>
      <w:bookmarkEnd w:id="31"/>
    </w:p>
    <w:p>
      <w:pPr>
        <w:spacing w:line="360" w:lineRule="auto"/>
        <w:ind w:firstLine="562" w:firstLineChars="200"/>
        <w:outlineLvl w:val="1"/>
        <w:rPr>
          <w:rFonts w:ascii="宋体" w:hAnsi="宋体"/>
          <w:b/>
          <w:sz w:val="28"/>
          <w:szCs w:val="28"/>
        </w:rPr>
      </w:pPr>
      <w:bookmarkStart w:id="32" w:name="_Toc32005"/>
    </w:p>
    <w:p>
      <w:pPr>
        <w:spacing w:line="360" w:lineRule="auto"/>
        <w:ind w:firstLine="562" w:firstLineChars="200"/>
        <w:outlineLvl w:val="1"/>
        <w:rPr>
          <w:rFonts w:ascii="宋体" w:hAnsi="宋体"/>
          <w:sz w:val="28"/>
          <w:szCs w:val="28"/>
        </w:rPr>
      </w:pPr>
      <w:r>
        <w:rPr>
          <w:rFonts w:hint="eastAsia" w:ascii="宋体" w:hAnsi="宋体"/>
          <w:b/>
          <w:sz w:val="28"/>
          <w:szCs w:val="28"/>
        </w:rPr>
        <w:t>5、以顾客为关注焦点</w:t>
      </w:r>
      <w:bookmarkEnd w:id="32"/>
    </w:p>
    <w:p>
      <w:pPr>
        <w:spacing w:line="360" w:lineRule="auto"/>
        <w:ind w:firstLine="480" w:firstLineChars="200"/>
        <w:rPr>
          <w:rFonts w:ascii="宋体" w:hAnsi="宋体"/>
          <w:sz w:val="24"/>
          <w:szCs w:val="24"/>
        </w:rPr>
      </w:pPr>
      <w:r>
        <w:rPr>
          <w:rFonts w:ascii="宋体" w:hAnsi="宋体"/>
          <w:sz w:val="24"/>
          <w:szCs w:val="24"/>
        </w:rPr>
        <w:t>公司坚持以顾客为中心，把公司的</w:t>
      </w:r>
      <w:r>
        <w:rPr>
          <w:rFonts w:hint="eastAsia" w:ascii="宋体" w:hAnsi="宋体"/>
          <w:sz w:val="24"/>
          <w:szCs w:val="24"/>
        </w:rPr>
        <w:t>发展</w:t>
      </w:r>
      <w:r>
        <w:rPr>
          <w:rFonts w:ascii="宋体" w:hAnsi="宋体"/>
          <w:sz w:val="24"/>
          <w:szCs w:val="24"/>
        </w:rPr>
        <w:t>与顾客的利益结合起来，以顾客满意为</w:t>
      </w:r>
      <w:r>
        <w:rPr>
          <w:rFonts w:hint="eastAsia" w:ascii="宋体" w:hAnsi="宋体"/>
          <w:sz w:val="24"/>
          <w:szCs w:val="24"/>
        </w:rPr>
        <w:t>基本</w:t>
      </w:r>
      <w:r>
        <w:rPr>
          <w:rFonts w:ascii="宋体" w:hAnsi="宋体"/>
          <w:sz w:val="24"/>
          <w:szCs w:val="24"/>
        </w:rPr>
        <w:t>经营原则。</w:t>
      </w:r>
      <w:r>
        <w:rPr>
          <w:rFonts w:hint="eastAsia" w:ascii="宋体" w:hAnsi="宋体"/>
          <w:sz w:val="24"/>
          <w:szCs w:val="24"/>
        </w:rPr>
        <w:t xml:space="preserve">最高管理者通过确保以下方面，证实其以顾客为关注焦点的领导作用和承诺： </w:t>
      </w:r>
    </w:p>
    <w:p>
      <w:pPr>
        <w:pStyle w:val="6"/>
        <w:spacing w:after="0" w:line="360" w:lineRule="auto"/>
        <w:ind w:firstLine="499" w:firstLineChars="208"/>
        <w:rPr>
          <w:rFonts w:ascii="宋体" w:hAnsi="宋体"/>
          <w:sz w:val="24"/>
          <w:szCs w:val="24"/>
        </w:rPr>
      </w:pPr>
      <w:r>
        <w:rPr>
          <w:rFonts w:hint="eastAsia" w:ascii="宋体" w:hAnsi="宋体"/>
          <w:sz w:val="24"/>
          <w:szCs w:val="24"/>
        </w:rPr>
        <w:t xml:space="preserve">a）确定、理解并持续地满足顾客要求以及适用的法律法规要求； </w:t>
      </w:r>
    </w:p>
    <w:p>
      <w:pPr>
        <w:pStyle w:val="6"/>
        <w:spacing w:after="0" w:line="360" w:lineRule="auto"/>
        <w:ind w:firstLine="499" w:firstLineChars="208"/>
        <w:rPr>
          <w:rFonts w:ascii="宋体" w:hAnsi="宋体"/>
          <w:sz w:val="24"/>
          <w:szCs w:val="24"/>
        </w:rPr>
      </w:pPr>
      <w:r>
        <w:rPr>
          <w:rFonts w:hint="eastAsia" w:ascii="宋体" w:hAnsi="宋体"/>
          <w:sz w:val="24"/>
          <w:szCs w:val="24"/>
        </w:rPr>
        <w:t>b）确定和应对能够影响产品与服务的符合性以及增强顾客满意能力的风险和机遇；</w:t>
      </w:r>
    </w:p>
    <w:p>
      <w:pPr>
        <w:spacing w:line="360" w:lineRule="auto"/>
        <w:ind w:firstLine="499" w:firstLineChars="208"/>
        <w:outlineLvl w:val="1"/>
        <w:rPr>
          <w:rFonts w:ascii="宋体" w:hAnsi="宋体"/>
          <w:sz w:val="24"/>
        </w:rPr>
      </w:pPr>
      <w:bookmarkStart w:id="33" w:name="_Toc27339"/>
      <w:r>
        <w:rPr>
          <w:rFonts w:hint="eastAsia" w:ascii="宋体" w:hAnsi="宋体"/>
          <w:sz w:val="24"/>
        </w:rPr>
        <w:t>c）始终致力于增强顾客满意。</w:t>
      </w:r>
      <w:bookmarkEnd w:id="33"/>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spacing w:line="360" w:lineRule="auto"/>
        <w:ind w:firstLine="499" w:firstLineChars="208"/>
        <w:outlineLvl w:val="1"/>
        <w:rPr>
          <w:rFonts w:ascii="宋体" w:hAnsi="宋体"/>
          <w:sz w:val="24"/>
        </w:rPr>
      </w:pPr>
    </w:p>
    <w:p>
      <w:pPr>
        <w:numPr>
          <w:ilvl w:val="0"/>
          <w:numId w:val="21"/>
        </w:numPr>
        <w:spacing w:line="360" w:lineRule="auto"/>
        <w:outlineLvl w:val="1"/>
        <w:rPr>
          <w:rFonts w:ascii="宋体" w:hAnsi="宋体"/>
          <w:b/>
          <w:sz w:val="32"/>
          <w:szCs w:val="32"/>
        </w:rPr>
      </w:pPr>
      <w:bookmarkStart w:id="34" w:name="_Toc18422"/>
      <w:r>
        <w:rPr>
          <w:rFonts w:hint="eastAsia" w:ascii="宋体" w:hAnsi="宋体"/>
          <w:b/>
          <w:sz w:val="32"/>
          <w:szCs w:val="32"/>
        </w:rPr>
        <w:t>社会关怀</w:t>
      </w:r>
      <w:bookmarkEnd w:id="34"/>
    </w:p>
    <w:p>
      <w:pPr>
        <w:spacing w:line="360" w:lineRule="auto"/>
        <w:ind w:left="420"/>
        <w:outlineLvl w:val="1"/>
        <w:rPr>
          <w:rFonts w:ascii="宋体" w:hAnsi="宋体"/>
          <w:b/>
          <w:sz w:val="32"/>
          <w:szCs w:val="32"/>
        </w:rPr>
      </w:pPr>
    </w:p>
    <w:p>
      <w:pPr>
        <w:numPr>
          <w:ilvl w:val="0"/>
          <w:numId w:val="22"/>
        </w:numPr>
        <w:spacing w:line="360" w:lineRule="auto"/>
        <w:outlineLvl w:val="1"/>
        <w:rPr>
          <w:rFonts w:ascii="宋体" w:hAnsi="宋体"/>
          <w:b/>
          <w:sz w:val="32"/>
          <w:szCs w:val="32"/>
        </w:rPr>
      </w:pPr>
      <w:bookmarkStart w:id="35" w:name="_Toc27570"/>
      <w:r>
        <w:rPr>
          <w:rFonts w:hint="eastAsia" w:ascii="宋体" w:hAnsi="宋体"/>
          <w:b/>
          <w:sz w:val="32"/>
          <w:szCs w:val="32"/>
        </w:rPr>
        <w:t>公益捐助</w:t>
      </w:r>
      <w:bookmarkEnd w:id="35"/>
    </w:p>
    <w:p>
      <w:pPr>
        <w:spacing w:line="360" w:lineRule="auto"/>
        <w:ind w:firstLine="480" w:firstLineChars="200"/>
        <w:rPr>
          <w:rFonts w:ascii="宋体" w:hAnsi="宋体"/>
          <w:sz w:val="24"/>
          <w:szCs w:val="24"/>
        </w:rPr>
      </w:pPr>
      <w:r>
        <w:rPr>
          <w:rFonts w:hint="eastAsia" w:ascii="宋体" w:hAnsi="宋体"/>
          <w:sz w:val="24"/>
          <w:szCs w:val="24"/>
        </w:rPr>
        <w:t>荣成环科秉持“取之于社会，用之于社会”的信念，参与各项公益活动，促进周边邻里互动，重视并积极支持地方教育事业，对周边中学、小学、幼儿园捐赠教育物资。遇到天然灾害与灾难时，荣成也尽一己之力提供捐助。</w:t>
      </w:r>
    </w:p>
    <w:p>
      <w:pPr>
        <w:spacing w:line="360" w:lineRule="auto"/>
        <w:rPr>
          <w:rFonts w:ascii="宋体" w:hAnsi="宋体"/>
          <w:sz w:val="24"/>
          <w:szCs w:val="24"/>
        </w:rPr>
      </w:pPr>
      <w:r>
        <w:rPr>
          <w:rFonts w:hint="eastAsia" w:ascii="宋体" w:hAnsi="宋体"/>
          <w:sz w:val="24"/>
          <w:szCs w:val="24"/>
        </w:rPr>
        <w:t>历年赞助公益活动</w:t>
      </w:r>
    </w:p>
    <w:tbl>
      <w:tblPr>
        <w:tblStyle w:val="20"/>
        <w:tblW w:w="8240" w:type="dxa"/>
        <w:tblInd w:w="93" w:type="dxa"/>
        <w:tblLayout w:type="fixed"/>
        <w:tblCellMar>
          <w:top w:w="0" w:type="dxa"/>
          <w:left w:w="108" w:type="dxa"/>
          <w:bottom w:w="0" w:type="dxa"/>
          <w:right w:w="108" w:type="dxa"/>
        </w:tblCellMar>
      </w:tblPr>
      <w:tblGrid>
        <w:gridCol w:w="1540"/>
        <w:gridCol w:w="2000"/>
        <w:gridCol w:w="4700"/>
      </w:tblGrid>
      <w:tr>
        <w:tblPrEx>
          <w:tblLayout w:type="fixed"/>
          <w:tblCellMar>
            <w:top w:w="0" w:type="dxa"/>
            <w:left w:w="108" w:type="dxa"/>
            <w:bottom w:w="0" w:type="dxa"/>
            <w:right w:w="108" w:type="dxa"/>
          </w:tblCellMar>
        </w:tblPrEx>
        <w:trPr>
          <w:trHeight w:val="450" w:hRule="atLeast"/>
        </w:trPr>
        <w:tc>
          <w:tcPr>
            <w:tcW w:w="154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年份</w:t>
            </w:r>
          </w:p>
        </w:tc>
        <w:tc>
          <w:tcPr>
            <w:tcW w:w="200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项目</w:t>
            </w:r>
          </w:p>
        </w:tc>
        <w:tc>
          <w:tcPr>
            <w:tcW w:w="470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捐助项目说明</w:t>
            </w:r>
          </w:p>
        </w:tc>
      </w:tr>
      <w:tr>
        <w:tblPrEx>
          <w:tblLayout w:type="fixed"/>
          <w:tblCellMar>
            <w:top w:w="0" w:type="dxa"/>
            <w:left w:w="108" w:type="dxa"/>
            <w:bottom w:w="0" w:type="dxa"/>
            <w:right w:w="108" w:type="dxa"/>
          </w:tblCellMar>
        </w:tblPrEx>
        <w:trPr>
          <w:trHeight w:val="450" w:hRule="atLeast"/>
        </w:trPr>
        <w:tc>
          <w:tcPr>
            <w:tcW w:w="1540" w:type="dxa"/>
            <w:vMerge w:val="restart"/>
            <w:tcBorders>
              <w:top w:val="nil"/>
              <w:left w:val="single" w:color="auto" w:sz="4" w:space="0"/>
              <w:bottom w:val="single" w:color="000000" w:sz="4" w:space="0"/>
              <w:right w:val="single" w:color="auto" w:sz="4" w:space="0"/>
            </w:tcBorders>
            <w:vAlign w:val="center"/>
          </w:tcPr>
          <w:p>
            <w:pPr>
              <w:widowControl/>
              <w:spacing w:line="360" w:lineRule="auto"/>
              <w:jc w:val="center"/>
              <w:rPr>
                <w:rFonts w:ascii="宋体" w:hAnsi="宋体" w:cs="宋体"/>
                <w:color w:val="000000"/>
                <w:kern w:val="0"/>
                <w:sz w:val="24"/>
                <w:szCs w:val="24"/>
              </w:rPr>
            </w:pPr>
            <w:r>
              <w:rPr>
                <w:rFonts w:ascii="宋体" w:hAnsi="宋体" w:cs="宋体"/>
                <w:color w:val="000000"/>
                <w:kern w:val="0"/>
                <w:sz w:val="24"/>
                <w:szCs w:val="24"/>
              </w:rPr>
              <w:t>2008</w:t>
            </w:r>
            <w:r>
              <w:rPr>
                <w:rFonts w:hint="eastAsia" w:ascii="宋体" w:hAnsi="宋体" w:cs="宋体"/>
                <w:color w:val="000000"/>
                <w:kern w:val="0"/>
                <w:sz w:val="24"/>
                <w:szCs w:val="24"/>
              </w:rPr>
              <w:t>年</w:t>
            </w:r>
          </w:p>
        </w:tc>
        <w:tc>
          <w:tcPr>
            <w:tcW w:w="20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赈灾捐款</w:t>
            </w:r>
          </w:p>
        </w:tc>
        <w:tc>
          <w:tcPr>
            <w:tcW w:w="47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四川汶川地震赈灾捐助</w:t>
            </w:r>
            <w:r>
              <w:rPr>
                <w:rFonts w:ascii="宋体" w:hAnsi="宋体" w:cs="宋体"/>
                <w:color w:val="000000"/>
                <w:kern w:val="0"/>
                <w:sz w:val="24"/>
                <w:szCs w:val="24"/>
              </w:rPr>
              <w:t xml:space="preserve">     100</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rFonts w:ascii="宋体" w:hAnsi="宋体" w:cs="宋体"/>
                <w:color w:val="000000"/>
                <w:kern w:val="0"/>
                <w:sz w:val="24"/>
                <w:szCs w:val="24"/>
              </w:rPr>
            </w:pPr>
          </w:p>
        </w:tc>
        <w:tc>
          <w:tcPr>
            <w:tcW w:w="20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教育捐助</w:t>
            </w:r>
          </w:p>
        </w:tc>
        <w:tc>
          <w:tcPr>
            <w:tcW w:w="47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洛社镇中学助学</w:t>
            </w:r>
            <w:r>
              <w:rPr>
                <w:rFonts w:ascii="宋体" w:hAnsi="宋体" w:cs="宋体"/>
                <w:color w:val="000000"/>
                <w:kern w:val="0"/>
                <w:sz w:val="24"/>
                <w:szCs w:val="24"/>
              </w:rPr>
              <w:t xml:space="preserve">             5</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rFonts w:ascii="宋体" w:hAnsi="宋体" w:cs="宋体"/>
                <w:color w:val="000000"/>
                <w:kern w:val="0"/>
                <w:sz w:val="24"/>
                <w:szCs w:val="24"/>
              </w:rPr>
            </w:pPr>
          </w:p>
        </w:tc>
        <w:tc>
          <w:tcPr>
            <w:tcW w:w="20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公益捐款</w:t>
            </w:r>
          </w:p>
        </w:tc>
        <w:tc>
          <w:tcPr>
            <w:tcW w:w="47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蓝天下的关爱</w:t>
            </w:r>
            <w:r>
              <w:rPr>
                <w:rFonts w:ascii="宋体" w:hAnsi="宋体" w:cs="宋体"/>
                <w:color w:val="000000"/>
                <w:kern w:val="0"/>
                <w:sz w:val="24"/>
                <w:szCs w:val="24"/>
              </w:rPr>
              <w:t xml:space="preserve">             100</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4"/>
              </w:rPr>
            </w:pPr>
            <w:r>
              <w:rPr>
                <w:rFonts w:ascii="宋体" w:hAnsi="宋体" w:cs="宋体"/>
                <w:color w:val="000000"/>
                <w:kern w:val="0"/>
                <w:sz w:val="24"/>
                <w:szCs w:val="24"/>
              </w:rPr>
              <w:t>2013</w:t>
            </w:r>
            <w:r>
              <w:rPr>
                <w:rFonts w:hint="eastAsia" w:ascii="宋体" w:hAnsi="宋体" w:cs="宋体"/>
                <w:color w:val="000000"/>
                <w:kern w:val="0"/>
                <w:sz w:val="24"/>
                <w:szCs w:val="24"/>
              </w:rPr>
              <w:t>年</w:t>
            </w:r>
          </w:p>
        </w:tc>
        <w:tc>
          <w:tcPr>
            <w:tcW w:w="20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赈灾捐款</w:t>
            </w:r>
          </w:p>
        </w:tc>
        <w:tc>
          <w:tcPr>
            <w:tcW w:w="47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四川雅安地震赈灾捐助</w:t>
            </w:r>
            <w:r>
              <w:rPr>
                <w:rFonts w:ascii="宋体" w:hAnsi="宋体" w:cs="宋体"/>
                <w:color w:val="000000"/>
                <w:kern w:val="0"/>
                <w:sz w:val="24"/>
                <w:szCs w:val="24"/>
              </w:rPr>
              <w:t xml:space="preserve">     100</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4"/>
              </w:rPr>
            </w:pPr>
            <w:r>
              <w:rPr>
                <w:rFonts w:ascii="宋体" w:hAnsi="宋体" w:cs="宋体"/>
                <w:color w:val="000000"/>
                <w:kern w:val="0"/>
                <w:sz w:val="24"/>
                <w:szCs w:val="24"/>
              </w:rPr>
              <w:t>2014</w:t>
            </w:r>
            <w:r>
              <w:rPr>
                <w:rFonts w:hint="eastAsia" w:ascii="宋体" w:hAnsi="宋体" w:cs="宋体"/>
                <w:color w:val="000000"/>
                <w:kern w:val="0"/>
                <w:sz w:val="24"/>
                <w:szCs w:val="24"/>
              </w:rPr>
              <w:t>年</w:t>
            </w:r>
          </w:p>
        </w:tc>
        <w:tc>
          <w:tcPr>
            <w:tcW w:w="20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教育捐助</w:t>
            </w:r>
          </w:p>
        </w:tc>
        <w:tc>
          <w:tcPr>
            <w:tcW w:w="47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洛社镇中心小学助学</w:t>
            </w:r>
            <w:r>
              <w:rPr>
                <w:rFonts w:ascii="宋体" w:hAnsi="宋体" w:cs="宋体"/>
                <w:color w:val="000000"/>
                <w:kern w:val="0"/>
                <w:sz w:val="24"/>
                <w:szCs w:val="24"/>
              </w:rPr>
              <w:t xml:space="preserve">         3</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vMerge w:val="restart"/>
            <w:tcBorders>
              <w:top w:val="nil"/>
              <w:left w:val="single" w:color="auto" w:sz="4" w:space="0"/>
              <w:bottom w:val="single" w:color="000000" w:sz="4" w:space="0"/>
              <w:right w:val="single" w:color="auto" w:sz="4" w:space="0"/>
            </w:tcBorders>
            <w:vAlign w:val="center"/>
          </w:tcPr>
          <w:p>
            <w:pPr>
              <w:widowControl/>
              <w:spacing w:line="360" w:lineRule="auto"/>
              <w:jc w:val="center"/>
              <w:rPr>
                <w:rFonts w:ascii="宋体" w:hAnsi="宋体" w:cs="宋体"/>
                <w:color w:val="000000"/>
                <w:kern w:val="0"/>
                <w:sz w:val="24"/>
                <w:szCs w:val="24"/>
              </w:rPr>
            </w:pPr>
            <w:r>
              <w:rPr>
                <w:rFonts w:ascii="宋体" w:hAnsi="宋体" w:cs="宋体"/>
                <w:color w:val="000000"/>
                <w:kern w:val="0"/>
                <w:sz w:val="24"/>
                <w:szCs w:val="24"/>
              </w:rPr>
              <w:t>2015</w:t>
            </w:r>
            <w:r>
              <w:rPr>
                <w:rFonts w:hint="eastAsia" w:ascii="宋体" w:hAnsi="宋体" w:cs="宋体"/>
                <w:color w:val="000000"/>
                <w:kern w:val="0"/>
                <w:sz w:val="24"/>
                <w:szCs w:val="24"/>
              </w:rPr>
              <w:t>年</w:t>
            </w:r>
          </w:p>
        </w:tc>
        <w:tc>
          <w:tcPr>
            <w:tcW w:w="20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教育捐助</w:t>
            </w:r>
          </w:p>
        </w:tc>
        <w:tc>
          <w:tcPr>
            <w:tcW w:w="47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洛社镇中心小学助学</w:t>
            </w:r>
            <w:r>
              <w:rPr>
                <w:rFonts w:ascii="宋体" w:hAnsi="宋体" w:cs="宋体"/>
                <w:color w:val="000000"/>
                <w:kern w:val="0"/>
                <w:sz w:val="24"/>
                <w:szCs w:val="24"/>
              </w:rPr>
              <w:t xml:space="preserve">         3</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rFonts w:ascii="宋体" w:hAnsi="宋体" w:cs="宋体"/>
                <w:color w:val="000000"/>
                <w:kern w:val="0"/>
                <w:sz w:val="24"/>
                <w:szCs w:val="24"/>
              </w:rPr>
            </w:pPr>
          </w:p>
        </w:tc>
        <w:tc>
          <w:tcPr>
            <w:tcW w:w="20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公益捐款</w:t>
            </w:r>
          </w:p>
        </w:tc>
        <w:tc>
          <w:tcPr>
            <w:tcW w:w="47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洛社镇送温暖献爱心活动</w:t>
            </w:r>
            <w:r>
              <w:rPr>
                <w:rFonts w:ascii="宋体" w:hAnsi="宋体" w:cs="宋体"/>
                <w:color w:val="000000"/>
                <w:kern w:val="0"/>
                <w:sz w:val="24"/>
                <w:szCs w:val="24"/>
              </w:rPr>
              <w:t xml:space="preserve">     1</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nil"/>
              <w:right w:val="single" w:color="auto" w:sz="4" w:space="0"/>
            </w:tcBorders>
            <w:vAlign w:val="center"/>
          </w:tcPr>
          <w:p>
            <w:pPr>
              <w:widowControl/>
              <w:spacing w:line="360" w:lineRule="auto"/>
              <w:jc w:val="center"/>
              <w:rPr>
                <w:rFonts w:ascii="宋体" w:hAnsi="宋体" w:cs="宋体"/>
                <w:color w:val="000000"/>
                <w:kern w:val="0"/>
                <w:sz w:val="24"/>
                <w:szCs w:val="24"/>
              </w:rPr>
            </w:pPr>
            <w:r>
              <w:rPr>
                <w:rFonts w:ascii="宋体" w:hAnsi="宋体" w:cs="宋体"/>
                <w:color w:val="000000"/>
                <w:kern w:val="0"/>
                <w:sz w:val="24"/>
                <w:szCs w:val="24"/>
              </w:rPr>
              <w:t>2016</w:t>
            </w:r>
            <w:r>
              <w:rPr>
                <w:rFonts w:hint="eastAsia" w:ascii="宋体" w:hAnsi="宋体" w:cs="宋体"/>
                <w:color w:val="000000"/>
                <w:kern w:val="0"/>
                <w:sz w:val="24"/>
                <w:szCs w:val="24"/>
              </w:rPr>
              <w:t>年</w:t>
            </w:r>
          </w:p>
        </w:tc>
        <w:tc>
          <w:tcPr>
            <w:tcW w:w="20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教育捐助</w:t>
            </w:r>
          </w:p>
        </w:tc>
        <w:tc>
          <w:tcPr>
            <w:tcW w:w="47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洛社镇中心幼儿园助学</w:t>
            </w:r>
            <w:r>
              <w:rPr>
                <w:rFonts w:ascii="宋体" w:hAnsi="宋体" w:cs="宋体"/>
                <w:color w:val="000000"/>
                <w:kern w:val="0"/>
                <w:sz w:val="24"/>
                <w:szCs w:val="24"/>
              </w:rPr>
              <w:t xml:space="preserve">       2</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nil"/>
              <w:right w:val="single" w:color="auto" w:sz="4" w:space="0"/>
            </w:tcBorders>
            <w:vAlign w:val="center"/>
          </w:tcPr>
          <w:p>
            <w:pPr>
              <w:widowControl/>
              <w:spacing w:line="360" w:lineRule="auto"/>
              <w:jc w:val="center"/>
              <w:rPr>
                <w:rFonts w:ascii="宋体" w:hAnsi="宋体" w:cs="宋体"/>
                <w:color w:val="000000"/>
                <w:kern w:val="0"/>
                <w:sz w:val="24"/>
                <w:szCs w:val="24"/>
              </w:rPr>
            </w:pPr>
          </w:p>
        </w:tc>
        <w:tc>
          <w:tcPr>
            <w:tcW w:w="20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p>
        </w:tc>
        <w:tc>
          <w:tcPr>
            <w:tcW w:w="47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洛社镇中心小学助学</w:t>
            </w:r>
            <w:r>
              <w:rPr>
                <w:rFonts w:ascii="宋体" w:hAnsi="宋体" w:cs="宋体"/>
                <w:color w:val="000000"/>
                <w:kern w:val="0"/>
                <w:sz w:val="24"/>
                <w:szCs w:val="24"/>
              </w:rPr>
              <w:t xml:space="preserve">         3</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nil"/>
              <w:right w:val="single" w:color="auto" w:sz="4" w:space="0"/>
            </w:tcBorders>
            <w:vAlign w:val="center"/>
          </w:tcPr>
          <w:p>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2017年</w:t>
            </w:r>
          </w:p>
        </w:tc>
        <w:tc>
          <w:tcPr>
            <w:tcW w:w="20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文化建设捐助</w:t>
            </w:r>
          </w:p>
        </w:tc>
        <w:tc>
          <w:tcPr>
            <w:tcW w:w="47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洛社镇古文化保护（开利寺） 60万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nil"/>
              <w:right w:val="single" w:color="auto" w:sz="4" w:space="0"/>
            </w:tcBorders>
            <w:vAlign w:val="center"/>
          </w:tcPr>
          <w:p>
            <w:pPr>
              <w:widowControl/>
              <w:spacing w:line="360" w:lineRule="auto"/>
              <w:jc w:val="center"/>
              <w:rPr>
                <w:rFonts w:ascii="宋体" w:hAnsi="宋体" w:cs="宋体"/>
                <w:color w:val="000000"/>
                <w:kern w:val="0"/>
                <w:sz w:val="24"/>
                <w:szCs w:val="24"/>
              </w:rPr>
            </w:pPr>
          </w:p>
        </w:tc>
        <w:tc>
          <w:tcPr>
            <w:tcW w:w="20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教育捐助</w:t>
            </w:r>
          </w:p>
        </w:tc>
        <w:tc>
          <w:tcPr>
            <w:tcW w:w="47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洛社镇中心小学助学</w:t>
            </w:r>
            <w:r>
              <w:rPr>
                <w:rFonts w:ascii="宋体" w:hAnsi="宋体" w:cs="宋体"/>
                <w:color w:val="000000"/>
                <w:kern w:val="0"/>
                <w:sz w:val="24"/>
                <w:szCs w:val="24"/>
              </w:rPr>
              <w:t xml:space="preserve">         3</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nil"/>
              <w:right w:val="single" w:color="auto" w:sz="4" w:space="0"/>
            </w:tcBorders>
            <w:vAlign w:val="center"/>
          </w:tcPr>
          <w:p>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2018年</w:t>
            </w:r>
          </w:p>
        </w:tc>
        <w:tc>
          <w:tcPr>
            <w:tcW w:w="20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教育捐助</w:t>
            </w:r>
          </w:p>
        </w:tc>
        <w:tc>
          <w:tcPr>
            <w:tcW w:w="47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洛社镇中心小学助学</w:t>
            </w:r>
            <w:r>
              <w:rPr>
                <w:rFonts w:ascii="宋体" w:hAnsi="宋体" w:cs="宋体"/>
                <w:color w:val="000000"/>
                <w:kern w:val="0"/>
                <w:sz w:val="24"/>
                <w:szCs w:val="24"/>
              </w:rPr>
              <w:t xml:space="preserve">         3</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nil"/>
              <w:right w:val="single" w:color="auto" w:sz="4" w:space="0"/>
            </w:tcBorders>
            <w:vAlign w:val="center"/>
          </w:tcPr>
          <w:p>
            <w:pPr>
              <w:widowControl/>
              <w:spacing w:line="360" w:lineRule="auto"/>
              <w:jc w:val="center"/>
              <w:rPr>
                <w:rFonts w:ascii="宋体" w:hAnsi="宋体" w:cs="宋体"/>
                <w:color w:val="000000"/>
                <w:kern w:val="0"/>
                <w:sz w:val="24"/>
                <w:szCs w:val="24"/>
              </w:rPr>
            </w:pPr>
          </w:p>
        </w:tc>
        <w:tc>
          <w:tcPr>
            <w:tcW w:w="20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p>
        </w:tc>
        <w:tc>
          <w:tcPr>
            <w:tcW w:w="47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洛社镇中心幼儿园助学</w:t>
            </w:r>
            <w:r>
              <w:rPr>
                <w:rFonts w:ascii="宋体" w:hAnsi="宋体" w:cs="宋体"/>
                <w:color w:val="000000"/>
                <w:kern w:val="0"/>
                <w:sz w:val="24"/>
                <w:szCs w:val="24"/>
              </w:rPr>
              <w:t xml:space="preserve">       2</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nil"/>
              <w:right w:val="single" w:color="auto" w:sz="4" w:space="0"/>
            </w:tcBorders>
            <w:vAlign w:val="center"/>
          </w:tcPr>
          <w:p>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2019年</w:t>
            </w:r>
          </w:p>
        </w:tc>
        <w:tc>
          <w:tcPr>
            <w:tcW w:w="20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教育捐助</w:t>
            </w:r>
          </w:p>
        </w:tc>
        <w:tc>
          <w:tcPr>
            <w:tcW w:w="47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洛社镇中心小学助学</w:t>
            </w:r>
            <w:r>
              <w:rPr>
                <w:rFonts w:ascii="宋体" w:hAnsi="宋体" w:cs="宋体"/>
                <w:color w:val="000000"/>
                <w:kern w:val="0"/>
                <w:sz w:val="24"/>
                <w:szCs w:val="24"/>
              </w:rPr>
              <w:t xml:space="preserve">         3</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nil"/>
              <w:right w:val="single" w:color="auto" w:sz="4" w:space="0"/>
            </w:tcBorders>
            <w:vAlign w:val="center"/>
          </w:tcPr>
          <w:p>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2020年</w:t>
            </w:r>
          </w:p>
        </w:tc>
        <w:tc>
          <w:tcPr>
            <w:tcW w:w="20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环境保护捐助</w:t>
            </w:r>
          </w:p>
        </w:tc>
        <w:tc>
          <w:tcPr>
            <w:tcW w:w="47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六龙社区河道治理           30万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nil"/>
              <w:right w:val="single" w:color="auto" w:sz="4" w:space="0"/>
            </w:tcBorders>
            <w:vAlign w:val="center"/>
          </w:tcPr>
          <w:p>
            <w:pPr>
              <w:widowControl/>
              <w:spacing w:line="360" w:lineRule="auto"/>
              <w:jc w:val="center"/>
              <w:rPr>
                <w:rFonts w:ascii="宋体" w:hAnsi="宋体" w:cs="宋体"/>
                <w:color w:val="000000"/>
                <w:kern w:val="0"/>
                <w:sz w:val="24"/>
                <w:szCs w:val="24"/>
              </w:rPr>
            </w:pPr>
          </w:p>
        </w:tc>
        <w:tc>
          <w:tcPr>
            <w:tcW w:w="20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教育捐助</w:t>
            </w:r>
          </w:p>
        </w:tc>
        <w:tc>
          <w:tcPr>
            <w:tcW w:w="4700" w:type="dxa"/>
            <w:tcBorders>
              <w:top w:val="nil"/>
              <w:left w:val="nil"/>
              <w:bottom w:val="nil"/>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洛社镇中心小学助学</w:t>
            </w:r>
            <w:r>
              <w:rPr>
                <w:rFonts w:ascii="宋体" w:hAnsi="宋体" w:cs="宋体"/>
                <w:color w:val="000000"/>
                <w:kern w:val="0"/>
                <w:sz w:val="24"/>
                <w:szCs w:val="24"/>
              </w:rPr>
              <w:t xml:space="preserve">         3</w:t>
            </w:r>
            <w:r>
              <w:rPr>
                <w:rFonts w:hint="eastAsia" w:ascii="宋体" w:hAnsi="宋体" w:cs="宋体"/>
                <w:color w:val="000000"/>
                <w:kern w:val="0"/>
                <w:sz w:val="24"/>
                <w:szCs w:val="24"/>
              </w:rPr>
              <w:t>万</w:t>
            </w:r>
          </w:p>
        </w:tc>
      </w:tr>
      <w:tr>
        <w:tblPrEx>
          <w:tblLayout w:type="fixed"/>
          <w:tblCellMar>
            <w:top w:w="0" w:type="dxa"/>
            <w:left w:w="108" w:type="dxa"/>
            <w:bottom w:w="0" w:type="dxa"/>
            <w:right w:w="108" w:type="dxa"/>
          </w:tblCellMar>
        </w:tblPrEx>
        <w:trPr>
          <w:trHeight w:val="450" w:hRule="atLeast"/>
        </w:trPr>
        <w:tc>
          <w:tcPr>
            <w:tcW w:w="154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4"/>
              </w:rPr>
            </w:pPr>
          </w:p>
        </w:tc>
        <w:tc>
          <w:tcPr>
            <w:tcW w:w="20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防疫捐助</w:t>
            </w:r>
          </w:p>
        </w:tc>
        <w:tc>
          <w:tcPr>
            <w:tcW w:w="4700" w:type="dxa"/>
            <w:tcBorders>
              <w:top w:val="nil"/>
              <w:left w:val="nil"/>
              <w:bottom w:val="single" w:color="auto" w:sz="4" w:space="0"/>
              <w:right w:val="single" w:color="auto" w:sz="4" w:space="0"/>
            </w:tcBorders>
            <w:vAlign w:val="center"/>
          </w:tcPr>
          <w:p>
            <w:pPr>
              <w:widowControl/>
              <w:spacing w:line="360" w:lineRule="auto"/>
              <w:rPr>
                <w:rFonts w:ascii="宋体" w:hAnsi="宋体" w:cs="宋体"/>
                <w:color w:val="000000"/>
                <w:kern w:val="0"/>
                <w:sz w:val="24"/>
                <w:szCs w:val="24"/>
              </w:rPr>
            </w:pPr>
            <w:r>
              <w:rPr>
                <w:rFonts w:hint="eastAsia" w:ascii="宋体" w:hAnsi="宋体" w:cs="宋体"/>
                <w:color w:val="000000"/>
                <w:kern w:val="0"/>
                <w:sz w:val="24"/>
                <w:szCs w:val="24"/>
              </w:rPr>
              <w:t>六龙社区防疫资金           1万</w:t>
            </w:r>
          </w:p>
        </w:tc>
      </w:tr>
    </w:tbl>
    <w:p>
      <w:pPr>
        <w:spacing w:line="360" w:lineRule="auto"/>
        <w:outlineLvl w:val="1"/>
        <w:rPr>
          <w:rFonts w:ascii="宋体" w:hAnsi="宋体"/>
          <w:b/>
          <w:sz w:val="24"/>
          <w:szCs w:val="24"/>
        </w:rPr>
      </w:pPr>
    </w:p>
    <w:p>
      <w:pPr>
        <w:spacing w:line="360" w:lineRule="auto"/>
        <w:outlineLvl w:val="1"/>
        <w:rPr>
          <w:rFonts w:ascii="宋体" w:hAnsi="宋体"/>
          <w:b/>
          <w:sz w:val="24"/>
          <w:szCs w:val="24"/>
        </w:rPr>
      </w:pPr>
    </w:p>
    <w:p>
      <w:pPr>
        <w:numPr>
          <w:ilvl w:val="0"/>
          <w:numId w:val="23"/>
        </w:numPr>
        <w:spacing w:line="360" w:lineRule="auto"/>
        <w:outlineLvl w:val="1"/>
        <w:rPr>
          <w:rFonts w:ascii="宋体" w:hAnsi="宋体"/>
          <w:sz w:val="24"/>
          <w:szCs w:val="24"/>
        </w:rPr>
      </w:pPr>
      <w:bookmarkStart w:id="36" w:name="_Toc697"/>
      <w:r>
        <w:rPr>
          <w:rFonts w:hint="eastAsia" w:ascii="宋体" w:hAnsi="宋体"/>
          <w:b/>
          <w:sz w:val="32"/>
          <w:szCs w:val="32"/>
        </w:rPr>
        <w:t>公益活动</w:t>
      </w:r>
      <w:bookmarkEnd w:id="36"/>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除此之外，荣成环科员工参加全国志愿者协会，组成义工团队，积极参加所在地区的义工活动。对养老院，图书馆、环境卫生，</w:t>
      </w:r>
      <w:r>
        <w:rPr>
          <w:rFonts w:ascii="宋体" w:hAnsi="宋体"/>
          <w:sz w:val="24"/>
          <w:szCs w:val="24"/>
        </w:rPr>
        <w:t xml:space="preserve"> </w:t>
      </w:r>
      <w:r>
        <w:rPr>
          <w:rFonts w:hint="eastAsia" w:ascii="宋体" w:hAnsi="宋体"/>
          <w:sz w:val="24"/>
          <w:szCs w:val="24"/>
        </w:rPr>
        <w:t>小区公益活动均提供援助。</w:t>
      </w:r>
    </w:p>
    <w:p>
      <w:pPr>
        <w:spacing w:line="360" w:lineRule="auto"/>
        <w:ind w:firstLine="480" w:firstLineChars="200"/>
        <w:rPr>
          <w:rFonts w:ascii="宋体" w:hAnsi="宋体"/>
          <w:sz w:val="24"/>
          <w:szCs w:val="24"/>
        </w:rPr>
      </w:pPr>
      <w:r>
        <w:rPr>
          <w:rFonts w:hint="eastAsia" w:ascii="宋体" w:hAnsi="宋体"/>
          <w:sz w:val="24"/>
          <w:szCs w:val="24"/>
        </w:rPr>
        <w:t>除了出钱出力，无锡荣成还对厂区周边的环境主动提供服务，如对附近的荣洛路、新苑路周边的环境整洁、树木美化等；主动担起无锡荣成中兴西路南小桥周边交通安全，车辆停放等日常管理工作。</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20" w:firstLineChars="200"/>
        <w:rPr>
          <w:rFonts w:ascii="宋体" w:hAnsi="宋体"/>
          <w:sz w:val="24"/>
          <w:szCs w:val="24"/>
        </w:rPr>
      </w:pPr>
      <w:r>
        <w:rPr>
          <w:rFonts w:hint="eastAsia"/>
        </w:rPr>
        <w:drawing>
          <wp:anchor distT="0" distB="0" distL="114300" distR="114300" simplePos="0" relativeHeight="251658240" behindDoc="0" locked="0" layoutInCell="1" allowOverlap="1">
            <wp:simplePos x="0" y="0"/>
            <wp:positionH relativeFrom="column">
              <wp:posOffset>2872105</wp:posOffset>
            </wp:positionH>
            <wp:positionV relativeFrom="paragraph">
              <wp:posOffset>106680</wp:posOffset>
            </wp:positionV>
            <wp:extent cx="2436495" cy="1860550"/>
            <wp:effectExtent l="0" t="0" r="1905" b="6350"/>
            <wp:wrapNone/>
            <wp:docPr id="1" name="图片 3" descr="采血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采血中"/>
                    <pic:cNvPicPr>
                      <a:picLocks noChangeAspect="1"/>
                    </pic:cNvPicPr>
                  </pic:nvPicPr>
                  <pic:blipFill>
                    <a:blip r:embed="rId19"/>
                    <a:stretch>
                      <a:fillRect/>
                    </a:stretch>
                  </pic:blipFill>
                  <pic:spPr>
                    <a:xfrm>
                      <a:off x="0" y="0"/>
                      <a:ext cx="2436495" cy="1860550"/>
                    </a:xfrm>
                    <a:prstGeom prst="rect">
                      <a:avLst/>
                    </a:prstGeom>
                    <a:noFill/>
                    <a:ln w="9525">
                      <a:noFill/>
                      <a:miter/>
                    </a:ln>
                  </pic:spPr>
                </pic:pic>
              </a:graphicData>
            </a:graphic>
          </wp:anchor>
        </w:drawing>
      </w:r>
      <w:r>
        <w:rPr>
          <w:rFonts w:hint="eastAsia"/>
        </w:rPr>
        <w:drawing>
          <wp:anchor distT="0" distB="0" distL="114300" distR="114300" simplePos="0" relativeHeight="251659264" behindDoc="0" locked="0" layoutInCell="1" allowOverlap="1">
            <wp:simplePos x="0" y="0"/>
            <wp:positionH relativeFrom="column">
              <wp:posOffset>43815</wp:posOffset>
            </wp:positionH>
            <wp:positionV relativeFrom="paragraph">
              <wp:posOffset>104775</wp:posOffset>
            </wp:positionV>
            <wp:extent cx="2526030" cy="1838325"/>
            <wp:effectExtent l="0" t="0" r="7620" b="9525"/>
            <wp:wrapNone/>
            <wp:docPr id="2" name="图片 2" descr="IMG_20200707_09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0707_095429"/>
                    <pic:cNvPicPr>
                      <a:picLocks noChangeAspect="1"/>
                    </pic:cNvPicPr>
                  </pic:nvPicPr>
                  <pic:blipFill>
                    <a:blip r:embed="rId20"/>
                    <a:stretch>
                      <a:fillRect/>
                    </a:stretch>
                  </pic:blipFill>
                  <pic:spPr>
                    <a:xfrm>
                      <a:off x="0" y="0"/>
                      <a:ext cx="2526030" cy="1838325"/>
                    </a:xfrm>
                    <a:prstGeom prst="rect">
                      <a:avLst/>
                    </a:prstGeom>
                    <a:noFill/>
                    <a:ln w="9525">
                      <a:noFill/>
                      <a:miter/>
                    </a:ln>
                  </pic:spPr>
                </pic:pic>
              </a:graphicData>
            </a:graphic>
          </wp:anchor>
        </w:drawing>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ind w:firstLine="1680" w:firstLineChars="800"/>
      </w:pPr>
      <w:r>
        <w:rPr>
          <w:rFonts w:hint="eastAsia"/>
        </w:rPr>
        <w:t xml:space="preserve"> </w:t>
      </w:r>
    </w:p>
    <w:p>
      <w:pPr>
        <w:ind w:firstLine="1680" w:firstLineChars="800"/>
        <w:rPr>
          <w:rFonts w:ascii="宋体" w:hAnsi="宋体"/>
        </w:rPr>
      </w:pPr>
      <w:r>
        <w:rPr>
          <w:rFonts w:hint="eastAsia" w:ascii="宋体" w:hAnsi="宋体"/>
        </w:rPr>
        <w:t>近年来公司每年都要组织近20名员工参加洛社镇</w:t>
      </w:r>
      <w:bookmarkStart w:id="37" w:name="OLE_LINK5"/>
      <w:r>
        <w:rPr>
          <w:rFonts w:hint="eastAsia" w:ascii="宋体" w:hAnsi="宋体"/>
        </w:rPr>
        <w:t>公益献血活动</w:t>
      </w:r>
      <w:bookmarkEnd w:id="37"/>
    </w:p>
    <w:p>
      <w:pPr>
        <w:ind w:firstLine="1680" w:firstLineChars="800"/>
        <w:rPr>
          <w:rFonts w:ascii="宋体" w:hAnsi="宋体"/>
        </w:rPr>
      </w:pPr>
    </w:p>
    <w:p>
      <w:pPr>
        <w:ind w:firstLine="1680" w:firstLineChars="800"/>
        <w:rPr>
          <w:rFonts w:ascii="宋体" w:hAnsi="宋体"/>
        </w:rPr>
      </w:pPr>
    </w:p>
    <w:p>
      <w:pPr>
        <w:ind w:firstLine="1680" w:firstLineChars="800"/>
        <w:rPr>
          <w:rFonts w:ascii="宋体" w:hAnsi="宋体"/>
        </w:rPr>
      </w:pPr>
    </w:p>
    <w:p>
      <w:pPr>
        <w:ind w:firstLine="1680" w:firstLineChars="800"/>
        <w:rPr>
          <w:rFonts w:ascii="宋体" w:hAnsi="宋体"/>
        </w:rPr>
      </w:pPr>
    </w:p>
    <w:p>
      <w:pPr>
        <w:ind w:firstLine="1680" w:firstLineChars="800"/>
        <w:rPr>
          <w:rFonts w:ascii="宋体" w:hAnsi="宋体"/>
        </w:rPr>
      </w:pPr>
      <w:r>
        <w:rPr>
          <w:rFonts w:hint="eastAsia" w:ascii="宋体" w:hAnsi="宋体"/>
        </w:rPr>
        <w:drawing>
          <wp:anchor distT="0" distB="0" distL="114300" distR="114300" simplePos="0" relativeHeight="251661312" behindDoc="0" locked="0" layoutInCell="1" allowOverlap="1">
            <wp:simplePos x="0" y="0"/>
            <wp:positionH relativeFrom="column">
              <wp:posOffset>2882900</wp:posOffset>
            </wp:positionH>
            <wp:positionV relativeFrom="paragraph">
              <wp:posOffset>29210</wp:posOffset>
            </wp:positionV>
            <wp:extent cx="2449195" cy="1946275"/>
            <wp:effectExtent l="0" t="0" r="8255" b="15875"/>
            <wp:wrapNone/>
            <wp:docPr id="4" name="图片 5" descr="4、卧姿射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4、卧姿射水"/>
                    <pic:cNvPicPr>
                      <a:picLocks noChangeAspect="1"/>
                    </pic:cNvPicPr>
                  </pic:nvPicPr>
                  <pic:blipFill>
                    <a:blip r:embed="rId21"/>
                    <a:stretch>
                      <a:fillRect/>
                    </a:stretch>
                  </pic:blipFill>
                  <pic:spPr>
                    <a:xfrm>
                      <a:off x="0" y="0"/>
                      <a:ext cx="2449195" cy="1946275"/>
                    </a:xfrm>
                    <a:prstGeom prst="rect">
                      <a:avLst/>
                    </a:prstGeom>
                    <a:noFill/>
                    <a:ln w="9525">
                      <a:noFill/>
                      <a:miter/>
                    </a:ln>
                  </pic:spPr>
                </pic:pic>
              </a:graphicData>
            </a:graphic>
          </wp:anchor>
        </w:drawing>
      </w:r>
      <w:r>
        <w:rPr>
          <w:rFonts w:hint="eastAsia" w:ascii="宋体" w:hAnsi="宋体"/>
        </w:rPr>
        <w:drawing>
          <wp:anchor distT="0" distB="0" distL="114300" distR="114300" simplePos="0" relativeHeight="251660288" behindDoc="0" locked="0" layoutInCell="1" allowOverlap="1">
            <wp:simplePos x="0" y="0"/>
            <wp:positionH relativeFrom="column">
              <wp:posOffset>1270</wp:posOffset>
            </wp:positionH>
            <wp:positionV relativeFrom="paragraph">
              <wp:posOffset>78105</wp:posOffset>
            </wp:positionV>
            <wp:extent cx="2546985" cy="1854200"/>
            <wp:effectExtent l="0" t="0" r="5715" b="12700"/>
            <wp:wrapNone/>
            <wp:docPr id="3" name="图片 4" descr="1、比武起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比武起动"/>
                    <pic:cNvPicPr>
                      <a:picLocks noChangeAspect="1"/>
                    </pic:cNvPicPr>
                  </pic:nvPicPr>
                  <pic:blipFill>
                    <a:blip r:embed="rId22"/>
                    <a:stretch>
                      <a:fillRect/>
                    </a:stretch>
                  </pic:blipFill>
                  <pic:spPr>
                    <a:xfrm>
                      <a:off x="0" y="0"/>
                      <a:ext cx="2546985" cy="1854200"/>
                    </a:xfrm>
                    <a:prstGeom prst="rect">
                      <a:avLst/>
                    </a:prstGeom>
                    <a:noFill/>
                    <a:ln w="9525">
                      <a:noFill/>
                      <a:miter/>
                    </a:ln>
                  </pic:spPr>
                </pic:pic>
              </a:graphicData>
            </a:graphic>
          </wp:anchor>
        </w:drawing>
      </w:r>
    </w:p>
    <w:p>
      <w:pPr>
        <w:ind w:firstLine="1680" w:firstLineChars="800"/>
        <w:rPr>
          <w:rFonts w:ascii="宋体" w:hAnsi="宋体"/>
        </w:rPr>
      </w:pPr>
    </w:p>
    <w:p>
      <w:pPr>
        <w:ind w:firstLine="1680" w:firstLineChars="8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rPr>
          <w:rFonts w:ascii="宋体" w:hAnsi="宋体"/>
        </w:rPr>
      </w:pPr>
    </w:p>
    <w:p>
      <w:pPr>
        <w:rPr>
          <w:rFonts w:ascii="宋体" w:hAnsi="宋体"/>
        </w:rPr>
      </w:pPr>
      <w:r>
        <w:rPr>
          <w:rFonts w:hint="eastAsia" w:ascii="宋体" w:hAnsi="宋体"/>
        </w:rPr>
        <w:t>公司每年都要参加洛社镇的消防比武，提升防火技能，并承担公司所在社区的日常消防工作</w:t>
      </w:r>
    </w:p>
    <w:p>
      <w:pPr>
        <w:rPr>
          <w:rFonts w:ascii="宋体" w:hAnsi="宋体"/>
        </w:rPr>
      </w:pPr>
    </w:p>
    <w:p>
      <w:pPr>
        <w:rPr>
          <w:rFonts w:ascii="宋体" w:hAnsi="宋体"/>
        </w:rPr>
      </w:pPr>
    </w:p>
    <w:p>
      <w:pPr>
        <w:ind w:firstLine="420" w:firstLineChars="200"/>
        <w:rPr>
          <w:rFonts w:ascii="宋体" w:hAnsi="宋体"/>
        </w:rPr>
      </w:pPr>
      <w:r>
        <w:rPr>
          <w:rFonts w:hint="eastAsia" w:ascii="宋体" w:hAnsi="宋体"/>
        </w:rPr>
        <w:drawing>
          <wp:anchor distT="0" distB="0" distL="114300" distR="114300" simplePos="0" relativeHeight="251663360" behindDoc="0" locked="0" layoutInCell="1" allowOverlap="1">
            <wp:simplePos x="0" y="0"/>
            <wp:positionH relativeFrom="column">
              <wp:posOffset>2838450</wp:posOffset>
            </wp:positionH>
            <wp:positionV relativeFrom="paragraph">
              <wp:posOffset>122555</wp:posOffset>
            </wp:positionV>
            <wp:extent cx="2569210" cy="1788160"/>
            <wp:effectExtent l="0" t="0" r="2540" b="2540"/>
            <wp:wrapNone/>
            <wp:docPr id="6" name="图片 7" descr="1、志愿者宣传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志愿者宣传队"/>
                    <pic:cNvPicPr>
                      <a:picLocks noChangeAspect="1"/>
                    </pic:cNvPicPr>
                  </pic:nvPicPr>
                  <pic:blipFill>
                    <a:blip r:embed="rId23"/>
                    <a:stretch>
                      <a:fillRect/>
                    </a:stretch>
                  </pic:blipFill>
                  <pic:spPr>
                    <a:xfrm>
                      <a:off x="0" y="0"/>
                      <a:ext cx="2569210" cy="1788160"/>
                    </a:xfrm>
                    <a:prstGeom prst="rect">
                      <a:avLst/>
                    </a:prstGeom>
                    <a:noFill/>
                    <a:ln w="9525">
                      <a:noFill/>
                      <a:miter/>
                    </a:ln>
                  </pic:spPr>
                </pic:pic>
              </a:graphicData>
            </a:graphic>
          </wp:anchor>
        </w:drawing>
      </w:r>
      <w:r>
        <w:rPr>
          <w:rFonts w:hint="eastAsia" w:ascii="宋体" w:hAnsi="宋体"/>
        </w:rPr>
        <w:drawing>
          <wp:anchor distT="0" distB="0" distL="114300" distR="114300" simplePos="0" relativeHeight="251662336" behindDoc="0" locked="0" layoutInCell="1" allowOverlap="1">
            <wp:simplePos x="0" y="0"/>
            <wp:positionH relativeFrom="column">
              <wp:posOffset>-48895</wp:posOffset>
            </wp:positionH>
            <wp:positionV relativeFrom="paragraph">
              <wp:posOffset>151765</wp:posOffset>
            </wp:positionV>
            <wp:extent cx="2640965" cy="1779270"/>
            <wp:effectExtent l="0" t="0" r="6985" b="11430"/>
            <wp:wrapNone/>
            <wp:docPr id="5" name="图片 6" descr="IMG_20200611_16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0200611_164630"/>
                    <pic:cNvPicPr>
                      <a:picLocks noChangeAspect="1"/>
                    </pic:cNvPicPr>
                  </pic:nvPicPr>
                  <pic:blipFill>
                    <a:blip r:embed="rId24"/>
                    <a:stretch>
                      <a:fillRect/>
                    </a:stretch>
                  </pic:blipFill>
                  <pic:spPr>
                    <a:xfrm>
                      <a:off x="0" y="0"/>
                      <a:ext cx="2640965" cy="1779270"/>
                    </a:xfrm>
                    <a:prstGeom prst="rect">
                      <a:avLst/>
                    </a:prstGeom>
                    <a:noFill/>
                    <a:ln w="9525">
                      <a:noFill/>
                      <a:miter/>
                    </a:ln>
                  </pic:spPr>
                </pic:pic>
              </a:graphicData>
            </a:graphic>
          </wp:anchor>
        </w:drawing>
      </w: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2520" w:firstLineChars="1200"/>
        <w:rPr>
          <w:rFonts w:ascii="宋体" w:hAnsi="宋体"/>
        </w:rPr>
      </w:pPr>
      <w:r>
        <w:rPr>
          <w:rFonts w:hint="eastAsia" w:ascii="宋体" w:hAnsi="宋体"/>
        </w:rPr>
        <w:t>公司志愿者配合交警宣传骑车安全</w:t>
      </w:r>
    </w:p>
    <w:p>
      <w:pPr>
        <w:ind w:firstLine="420" w:firstLineChars="200"/>
        <w:rPr>
          <w:rFonts w:ascii="宋体" w:hAnsi="宋体"/>
        </w:rPr>
      </w:pPr>
      <w:r>
        <w:rPr>
          <w:rFonts w:hint="eastAsia" w:ascii="宋体" w:hAnsi="宋体"/>
        </w:rPr>
        <w:drawing>
          <wp:anchor distT="0" distB="0" distL="114300" distR="114300" simplePos="0" relativeHeight="251664384" behindDoc="0" locked="0" layoutInCell="1" allowOverlap="1">
            <wp:simplePos x="0" y="0"/>
            <wp:positionH relativeFrom="column">
              <wp:posOffset>2759075</wp:posOffset>
            </wp:positionH>
            <wp:positionV relativeFrom="paragraph">
              <wp:posOffset>164465</wp:posOffset>
            </wp:positionV>
            <wp:extent cx="2614930" cy="1571625"/>
            <wp:effectExtent l="0" t="0" r="13970" b="9525"/>
            <wp:wrapNone/>
            <wp:docPr id="7" name="图片 9" descr="IMG_20191112_08444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0191112_084445_副本"/>
                    <pic:cNvPicPr>
                      <a:picLocks noChangeAspect="1"/>
                    </pic:cNvPicPr>
                  </pic:nvPicPr>
                  <pic:blipFill>
                    <a:blip r:embed="rId25"/>
                    <a:stretch>
                      <a:fillRect/>
                    </a:stretch>
                  </pic:blipFill>
                  <pic:spPr>
                    <a:xfrm>
                      <a:off x="0" y="0"/>
                      <a:ext cx="2614930" cy="1571625"/>
                    </a:xfrm>
                    <a:prstGeom prst="rect">
                      <a:avLst/>
                    </a:prstGeom>
                    <a:noFill/>
                    <a:ln w="9525">
                      <a:noFill/>
                      <a:miter/>
                    </a:ln>
                  </pic:spPr>
                </pic:pic>
              </a:graphicData>
            </a:graphic>
          </wp:anchor>
        </w:drawing>
      </w:r>
      <w:r>
        <w:rPr>
          <w:rFonts w:hint="eastAsia" w:ascii="宋体" w:hAnsi="宋体"/>
        </w:rPr>
        <w:drawing>
          <wp:anchor distT="0" distB="0" distL="114300" distR="114300" simplePos="0" relativeHeight="251665408" behindDoc="0" locked="0" layoutInCell="1" allowOverlap="1">
            <wp:simplePos x="0" y="0"/>
            <wp:positionH relativeFrom="column">
              <wp:posOffset>-36830</wp:posOffset>
            </wp:positionH>
            <wp:positionV relativeFrom="paragraph">
              <wp:posOffset>146685</wp:posOffset>
            </wp:positionV>
            <wp:extent cx="2658745" cy="1593850"/>
            <wp:effectExtent l="0" t="0" r="8255" b="6350"/>
            <wp:wrapNone/>
            <wp:docPr id="8" name="图片 8" descr="mmexport157405734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74057344338"/>
                    <pic:cNvPicPr>
                      <a:picLocks noChangeAspect="1"/>
                    </pic:cNvPicPr>
                  </pic:nvPicPr>
                  <pic:blipFill>
                    <a:blip r:embed="rId26"/>
                    <a:stretch>
                      <a:fillRect/>
                    </a:stretch>
                  </pic:blipFill>
                  <pic:spPr>
                    <a:xfrm>
                      <a:off x="0" y="0"/>
                      <a:ext cx="2658745" cy="1593850"/>
                    </a:xfrm>
                    <a:prstGeom prst="rect">
                      <a:avLst/>
                    </a:prstGeom>
                    <a:noFill/>
                    <a:ln w="9525">
                      <a:noFill/>
                      <a:miter/>
                    </a:ln>
                  </pic:spPr>
                </pic:pic>
              </a:graphicData>
            </a:graphic>
          </wp:anchor>
        </w:drawing>
      </w: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1890" w:firstLineChars="900"/>
        <w:rPr>
          <w:rFonts w:ascii="宋体" w:hAnsi="宋体"/>
        </w:rPr>
      </w:pPr>
      <w:r>
        <w:rPr>
          <w:rFonts w:hint="eastAsia" w:ascii="宋体" w:hAnsi="宋体"/>
        </w:rPr>
        <w:t>为所在镇区小朋友宣传环保知识及环保造纸的过程</w:t>
      </w:r>
    </w:p>
    <w:p>
      <w:pPr>
        <w:ind w:firstLine="420" w:firstLineChars="200"/>
        <w:rPr>
          <w:rFonts w:ascii="宋体" w:hAnsi="宋体"/>
        </w:rPr>
      </w:pPr>
      <w:r>
        <w:rPr>
          <w:rFonts w:hint="eastAsia" w:ascii="宋体" w:hAnsi="宋体"/>
        </w:rPr>
        <w:drawing>
          <wp:anchor distT="0" distB="0" distL="114300" distR="114300" simplePos="0" relativeHeight="251666432" behindDoc="0" locked="0" layoutInCell="1" allowOverlap="1">
            <wp:simplePos x="0" y="0"/>
            <wp:positionH relativeFrom="column">
              <wp:posOffset>-79375</wp:posOffset>
            </wp:positionH>
            <wp:positionV relativeFrom="paragraph">
              <wp:posOffset>133350</wp:posOffset>
            </wp:positionV>
            <wp:extent cx="2719705" cy="1710055"/>
            <wp:effectExtent l="0" t="0" r="4445" b="4445"/>
            <wp:wrapNone/>
            <wp:docPr id="9" name="图片 10" descr="IMG_20180926_08222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0180926_082229_副本"/>
                    <pic:cNvPicPr>
                      <a:picLocks noChangeAspect="1"/>
                    </pic:cNvPicPr>
                  </pic:nvPicPr>
                  <pic:blipFill>
                    <a:blip r:embed="rId27"/>
                    <a:stretch>
                      <a:fillRect/>
                    </a:stretch>
                  </pic:blipFill>
                  <pic:spPr>
                    <a:xfrm>
                      <a:off x="0" y="0"/>
                      <a:ext cx="2719705" cy="1710055"/>
                    </a:xfrm>
                    <a:prstGeom prst="rect">
                      <a:avLst/>
                    </a:prstGeom>
                    <a:noFill/>
                    <a:ln w="9525">
                      <a:noFill/>
                      <a:miter/>
                    </a:ln>
                  </pic:spPr>
                </pic:pic>
              </a:graphicData>
            </a:graphic>
          </wp:anchor>
        </w:drawing>
      </w:r>
      <w:r>
        <w:rPr>
          <w:rFonts w:hint="eastAsia" w:ascii="宋体" w:hAnsi="宋体"/>
        </w:rPr>
        <w:drawing>
          <wp:anchor distT="0" distB="0" distL="114300" distR="114300" simplePos="0" relativeHeight="251667456" behindDoc="0" locked="0" layoutInCell="1" allowOverlap="1">
            <wp:simplePos x="0" y="0"/>
            <wp:positionH relativeFrom="column">
              <wp:posOffset>2784475</wp:posOffset>
            </wp:positionH>
            <wp:positionV relativeFrom="paragraph">
              <wp:posOffset>139700</wp:posOffset>
            </wp:positionV>
            <wp:extent cx="2637155" cy="1696720"/>
            <wp:effectExtent l="0" t="0" r="10795" b="17780"/>
            <wp:wrapNone/>
            <wp:docPr id="10" name="图片 11" descr="IMG_20180926_08251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0180926_082517_副本"/>
                    <pic:cNvPicPr>
                      <a:picLocks noChangeAspect="1"/>
                    </pic:cNvPicPr>
                  </pic:nvPicPr>
                  <pic:blipFill>
                    <a:blip r:embed="rId28"/>
                    <a:stretch>
                      <a:fillRect/>
                    </a:stretch>
                  </pic:blipFill>
                  <pic:spPr>
                    <a:xfrm>
                      <a:off x="0" y="0"/>
                      <a:ext cx="2637155" cy="1696720"/>
                    </a:xfrm>
                    <a:prstGeom prst="rect">
                      <a:avLst/>
                    </a:prstGeom>
                    <a:noFill/>
                    <a:ln w="9525">
                      <a:noFill/>
                      <a:miter/>
                    </a:ln>
                  </pic:spPr>
                </pic:pic>
              </a:graphicData>
            </a:graphic>
          </wp:anchor>
        </w:drawing>
      </w: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2520" w:firstLineChars="1200"/>
        <w:rPr>
          <w:rFonts w:ascii="宋体" w:hAnsi="宋体"/>
        </w:rPr>
      </w:pPr>
      <w:r>
        <w:rPr>
          <w:rFonts w:hint="eastAsia" w:ascii="宋体" w:hAnsi="宋体"/>
        </w:rPr>
        <w:t>2018年给洛社镇</w:t>
      </w:r>
      <w:r>
        <w:rPr>
          <w:rFonts w:ascii="宋体" w:hAnsi="宋体"/>
        </w:rPr>
        <w:t>颐养院捐</w:t>
      </w:r>
      <w:r>
        <w:rPr>
          <w:rFonts w:hint="eastAsia" w:ascii="宋体" w:hAnsi="宋体"/>
        </w:rPr>
        <w:t>助餐具用品</w:t>
      </w:r>
    </w:p>
    <w:p>
      <w:pPr>
        <w:ind w:firstLine="2520" w:firstLineChars="1200"/>
        <w:rPr>
          <w:rFonts w:ascii="宋体" w:hAnsi="宋体"/>
        </w:rPr>
      </w:pPr>
    </w:p>
    <w:p>
      <w:pPr>
        <w:ind w:firstLine="420" w:firstLineChars="200"/>
        <w:rPr>
          <w:rFonts w:ascii="宋体" w:hAnsi="宋体"/>
        </w:rPr>
      </w:pPr>
      <w:r>
        <w:rPr>
          <w:rFonts w:ascii="宋体" w:hAnsi="宋体"/>
        </w:rPr>
        <w:drawing>
          <wp:anchor distT="0" distB="0" distL="114300" distR="114300" simplePos="0" relativeHeight="251668480" behindDoc="0" locked="0" layoutInCell="1" allowOverlap="1">
            <wp:simplePos x="0" y="0"/>
            <wp:positionH relativeFrom="column">
              <wp:posOffset>2870200</wp:posOffset>
            </wp:positionH>
            <wp:positionV relativeFrom="paragraph">
              <wp:posOffset>59690</wp:posOffset>
            </wp:positionV>
            <wp:extent cx="2665730" cy="1776730"/>
            <wp:effectExtent l="0" t="0" r="1270" b="13970"/>
            <wp:wrapNone/>
            <wp:docPr id="11" name="图片 13" descr="IMG_20171123_13353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0171123_133531_副本"/>
                    <pic:cNvPicPr>
                      <a:picLocks noChangeAspect="1"/>
                    </pic:cNvPicPr>
                  </pic:nvPicPr>
                  <pic:blipFill>
                    <a:blip r:embed="rId29"/>
                    <a:stretch>
                      <a:fillRect/>
                    </a:stretch>
                  </pic:blipFill>
                  <pic:spPr>
                    <a:xfrm>
                      <a:off x="0" y="0"/>
                      <a:ext cx="2665730" cy="1776730"/>
                    </a:xfrm>
                    <a:prstGeom prst="rect">
                      <a:avLst/>
                    </a:prstGeom>
                    <a:noFill/>
                    <a:ln w="9525">
                      <a:noFill/>
                      <a:miter/>
                    </a:ln>
                  </pic:spPr>
                </pic:pic>
              </a:graphicData>
            </a:graphic>
          </wp:anchor>
        </w:drawing>
      </w:r>
      <w:r>
        <w:rPr>
          <w:rFonts w:hint="eastAsia" w:ascii="宋体" w:hAnsi="宋体"/>
        </w:rPr>
        <w:drawing>
          <wp:anchor distT="0" distB="0" distL="114300" distR="114300" simplePos="0" relativeHeight="251669504" behindDoc="0" locked="0" layoutInCell="1" allowOverlap="1">
            <wp:simplePos x="0" y="0"/>
            <wp:positionH relativeFrom="column">
              <wp:posOffset>52705</wp:posOffset>
            </wp:positionH>
            <wp:positionV relativeFrom="paragraph">
              <wp:posOffset>80010</wp:posOffset>
            </wp:positionV>
            <wp:extent cx="2663825" cy="1751965"/>
            <wp:effectExtent l="0" t="0" r="3175" b="635"/>
            <wp:wrapNone/>
            <wp:docPr id="12" name="图片 12" descr="捐赠照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捐赠照片-1_副本"/>
                    <pic:cNvPicPr>
                      <a:picLocks noChangeAspect="1"/>
                    </pic:cNvPicPr>
                  </pic:nvPicPr>
                  <pic:blipFill>
                    <a:blip r:embed="rId30"/>
                    <a:stretch>
                      <a:fillRect/>
                    </a:stretch>
                  </pic:blipFill>
                  <pic:spPr>
                    <a:xfrm>
                      <a:off x="0" y="0"/>
                      <a:ext cx="2663825" cy="1751965"/>
                    </a:xfrm>
                    <a:prstGeom prst="rect">
                      <a:avLst/>
                    </a:prstGeom>
                    <a:noFill/>
                    <a:ln w="9525">
                      <a:noFill/>
                      <a:miter/>
                    </a:ln>
                  </pic:spPr>
                </pic:pic>
              </a:graphicData>
            </a:graphic>
          </wp:anchor>
        </w:drawing>
      </w: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2100" w:firstLineChars="1000"/>
        <w:rPr>
          <w:rFonts w:ascii="宋体" w:hAnsi="宋体"/>
        </w:rPr>
      </w:pPr>
    </w:p>
    <w:p>
      <w:pPr>
        <w:ind w:firstLine="2100" w:firstLineChars="1000"/>
        <w:rPr>
          <w:rFonts w:ascii="宋体" w:hAnsi="宋体"/>
        </w:rPr>
      </w:pPr>
      <w:r>
        <w:rPr>
          <w:rFonts w:hint="eastAsia" w:ascii="宋体" w:hAnsi="宋体"/>
        </w:rPr>
        <w:t>2018年给惠山区重度残疾人托</w:t>
      </w:r>
      <w:r>
        <w:rPr>
          <w:rFonts w:ascii="宋体" w:hAnsi="宋体"/>
        </w:rPr>
        <w:t>养</w:t>
      </w:r>
      <w:r>
        <w:rPr>
          <w:rFonts w:hint="eastAsia" w:ascii="宋体" w:hAnsi="宋体"/>
        </w:rPr>
        <w:t>中心捐赠沙发</w:t>
      </w:r>
    </w:p>
    <w:p>
      <w:pPr>
        <w:ind w:firstLine="420" w:firstLineChars="200"/>
        <w:rPr>
          <w:rFonts w:ascii="宋体" w:hAnsi="宋体"/>
        </w:rPr>
      </w:pPr>
      <w:r>
        <w:rPr>
          <w:rFonts w:ascii="宋体" w:hAnsi="宋体"/>
        </w:rPr>
        <w:drawing>
          <wp:anchor distT="0" distB="0" distL="114300" distR="114300" simplePos="0" relativeHeight="251670528" behindDoc="0" locked="0" layoutInCell="1" allowOverlap="1">
            <wp:simplePos x="0" y="0"/>
            <wp:positionH relativeFrom="column">
              <wp:posOffset>2820670</wp:posOffset>
            </wp:positionH>
            <wp:positionV relativeFrom="paragraph">
              <wp:posOffset>42545</wp:posOffset>
            </wp:positionV>
            <wp:extent cx="2469515" cy="2901315"/>
            <wp:effectExtent l="0" t="0" r="6985" b="13335"/>
            <wp:wrapNone/>
            <wp:docPr id="13" name="图片 15" descr="20-02-01抗疫捐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20-02-01抗疫捐款"/>
                    <pic:cNvPicPr>
                      <a:picLocks noChangeAspect="1"/>
                    </pic:cNvPicPr>
                  </pic:nvPicPr>
                  <pic:blipFill>
                    <a:blip r:embed="rId31"/>
                    <a:stretch>
                      <a:fillRect/>
                    </a:stretch>
                  </pic:blipFill>
                  <pic:spPr>
                    <a:xfrm>
                      <a:off x="0" y="0"/>
                      <a:ext cx="2469515" cy="2901315"/>
                    </a:xfrm>
                    <a:prstGeom prst="rect">
                      <a:avLst/>
                    </a:prstGeom>
                    <a:noFill/>
                    <a:ln w="9525">
                      <a:noFill/>
                      <a:miter/>
                    </a:ln>
                  </pic:spPr>
                </pic:pic>
              </a:graphicData>
            </a:graphic>
          </wp:anchor>
        </w:drawing>
      </w:r>
      <w:r>
        <w:rPr>
          <w:rFonts w:ascii="宋体" w:hAnsi="宋体"/>
        </w:rPr>
        <w:drawing>
          <wp:anchor distT="0" distB="0" distL="114300" distR="114300" simplePos="0" relativeHeight="251671552" behindDoc="0" locked="0" layoutInCell="1" allowOverlap="1">
            <wp:simplePos x="0" y="0"/>
            <wp:positionH relativeFrom="column">
              <wp:posOffset>58420</wp:posOffset>
            </wp:positionH>
            <wp:positionV relativeFrom="paragraph">
              <wp:posOffset>64135</wp:posOffset>
            </wp:positionV>
            <wp:extent cx="2492375" cy="2856865"/>
            <wp:effectExtent l="0" t="0" r="3175" b="635"/>
            <wp:wrapNone/>
            <wp:docPr id="14" name="图片 14" descr="3C6E352DC38D53D9443E9380EA39D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C6E352DC38D53D9443E9380EA39DF54"/>
                    <pic:cNvPicPr>
                      <a:picLocks noChangeAspect="1"/>
                    </pic:cNvPicPr>
                  </pic:nvPicPr>
                  <pic:blipFill>
                    <a:blip r:embed="rId32"/>
                    <a:stretch>
                      <a:fillRect/>
                    </a:stretch>
                  </pic:blipFill>
                  <pic:spPr>
                    <a:xfrm>
                      <a:off x="0" y="0"/>
                      <a:ext cx="2492375" cy="2856865"/>
                    </a:xfrm>
                    <a:prstGeom prst="rect">
                      <a:avLst/>
                    </a:prstGeom>
                    <a:noFill/>
                    <a:ln w="9525">
                      <a:noFill/>
                      <a:miter/>
                    </a:ln>
                  </pic:spPr>
                </pic:pic>
              </a:graphicData>
            </a:graphic>
          </wp:anchor>
        </w:drawing>
      </w: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rPr>
          <w:rFonts w:ascii="宋体" w:hAnsi="宋体"/>
        </w:rPr>
      </w:pPr>
    </w:p>
    <w:p>
      <w:pPr>
        <w:rPr>
          <w:rFonts w:ascii="宋体" w:hAnsi="宋体"/>
        </w:rPr>
      </w:pPr>
      <w:r>
        <w:rPr>
          <w:rFonts w:hint="eastAsia" w:ascii="宋体" w:hAnsi="宋体"/>
        </w:rPr>
        <w:t>公司连续二年与所在社区开展环保公益活动                捐助社区抗疫资金</w:t>
      </w:r>
    </w:p>
    <w:p>
      <w:pPr>
        <w:ind w:firstLine="420" w:firstLineChars="200"/>
        <w:rPr>
          <w:rFonts w:ascii="宋体" w:hAnsi="宋体"/>
        </w:rPr>
      </w:pPr>
      <w:r>
        <w:rPr>
          <w:rFonts w:ascii="宋体" w:hAnsi="宋体"/>
        </w:rPr>
        <w:drawing>
          <wp:anchor distT="0" distB="0" distL="114300" distR="114300" simplePos="0" relativeHeight="251673600" behindDoc="0" locked="0" layoutInCell="1" allowOverlap="1">
            <wp:simplePos x="0" y="0"/>
            <wp:positionH relativeFrom="column">
              <wp:posOffset>2785745</wp:posOffset>
            </wp:positionH>
            <wp:positionV relativeFrom="paragraph">
              <wp:posOffset>78740</wp:posOffset>
            </wp:positionV>
            <wp:extent cx="2505710" cy="1598295"/>
            <wp:effectExtent l="0" t="0" r="8890" b="1905"/>
            <wp:wrapNone/>
            <wp:docPr id="16"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2"/>
                    <pic:cNvPicPr>
                      <a:picLocks noChangeAspect="1"/>
                    </pic:cNvPicPr>
                  </pic:nvPicPr>
                  <pic:blipFill>
                    <a:blip r:embed="rId33"/>
                    <a:stretch>
                      <a:fillRect/>
                    </a:stretch>
                  </pic:blipFill>
                  <pic:spPr>
                    <a:xfrm>
                      <a:off x="0" y="0"/>
                      <a:ext cx="2505710" cy="1598295"/>
                    </a:xfrm>
                    <a:prstGeom prst="rect">
                      <a:avLst/>
                    </a:prstGeom>
                    <a:noFill/>
                    <a:ln w="9525">
                      <a:noFill/>
                      <a:miter/>
                    </a:ln>
                  </pic:spPr>
                </pic:pic>
              </a:graphicData>
            </a:graphic>
          </wp:anchor>
        </w:drawing>
      </w:r>
      <w:r>
        <w:rPr>
          <w:rFonts w:ascii="宋体" w:hAnsi="宋体"/>
        </w:rPr>
        <w:drawing>
          <wp:anchor distT="0" distB="0" distL="114300" distR="114300" simplePos="0" relativeHeight="251672576" behindDoc="0" locked="0" layoutInCell="1" allowOverlap="1">
            <wp:simplePos x="0" y="0"/>
            <wp:positionH relativeFrom="column">
              <wp:posOffset>-1905</wp:posOffset>
            </wp:positionH>
            <wp:positionV relativeFrom="paragraph">
              <wp:posOffset>94615</wp:posOffset>
            </wp:positionV>
            <wp:extent cx="2667635" cy="1617345"/>
            <wp:effectExtent l="0" t="0" r="18415" b="1905"/>
            <wp:wrapNone/>
            <wp:docPr id="15"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1"/>
                    <pic:cNvPicPr>
                      <a:picLocks noChangeAspect="1"/>
                    </pic:cNvPicPr>
                  </pic:nvPicPr>
                  <pic:blipFill>
                    <a:blip r:embed="rId34"/>
                    <a:stretch>
                      <a:fillRect/>
                    </a:stretch>
                  </pic:blipFill>
                  <pic:spPr>
                    <a:xfrm>
                      <a:off x="0" y="0"/>
                      <a:ext cx="2667635" cy="1617345"/>
                    </a:xfrm>
                    <a:prstGeom prst="rect">
                      <a:avLst/>
                    </a:prstGeom>
                    <a:noFill/>
                    <a:ln w="9525">
                      <a:noFill/>
                      <a:miter/>
                    </a:ln>
                  </pic:spPr>
                </pic:pic>
              </a:graphicData>
            </a:graphic>
          </wp:anchor>
        </w:drawing>
      </w: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r>
        <w:rPr>
          <w:rFonts w:ascii="宋体" w:hAnsi="宋体"/>
        </w:rPr>
        <w:drawing>
          <wp:anchor distT="0" distB="0" distL="114300" distR="114300" simplePos="0" relativeHeight="251675648" behindDoc="0" locked="0" layoutInCell="1" allowOverlap="1">
            <wp:simplePos x="0" y="0"/>
            <wp:positionH relativeFrom="column">
              <wp:posOffset>2781935</wp:posOffset>
            </wp:positionH>
            <wp:positionV relativeFrom="paragraph">
              <wp:posOffset>173355</wp:posOffset>
            </wp:positionV>
            <wp:extent cx="2542540" cy="1668145"/>
            <wp:effectExtent l="0" t="0" r="10160" b="8255"/>
            <wp:wrapNone/>
            <wp:docPr id="18"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4"/>
                    <pic:cNvPicPr>
                      <a:picLocks noChangeAspect="1"/>
                    </pic:cNvPicPr>
                  </pic:nvPicPr>
                  <pic:blipFill>
                    <a:blip r:embed="rId35"/>
                    <a:stretch>
                      <a:fillRect/>
                    </a:stretch>
                  </pic:blipFill>
                  <pic:spPr>
                    <a:xfrm>
                      <a:off x="0" y="0"/>
                      <a:ext cx="2542540" cy="1668145"/>
                    </a:xfrm>
                    <a:prstGeom prst="rect">
                      <a:avLst/>
                    </a:prstGeom>
                    <a:noFill/>
                    <a:ln w="9525">
                      <a:noFill/>
                      <a:miter/>
                    </a:ln>
                  </pic:spPr>
                </pic:pic>
              </a:graphicData>
            </a:graphic>
          </wp:anchor>
        </w:drawing>
      </w:r>
      <w:r>
        <w:rPr>
          <w:rFonts w:ascii="宋体" w:hAnsi="宋体"/>
        </w:rPr>
        <w:drawing>
          <wp:anchor distT="0" distB="0" distL="114300" distR="114300" simplePos="0" relativeHeight="251674624" behindDoc="0" locked="0" layoutInCell="1" allowOverlap="1">
            <wp:simplePos x="0" y="0"/>
            <wp:positionH relativeFrom="column">
              <wp:posOffset>14605</wp:posOffset>
            </wp:positionH>
            <wp:positionV relativeFrom="paragraph">
              <wp:posOffset>180340</wp:posOffset>
            </wp:positionV>
            <wp:extent cx="2647950" cy="1666240"/>
            <wp:effectExtent l="0" t="0" r="0" b="10160"/>
            <wp:wrapNone/>
            <wp:docPr id="17"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3"/>
                    <pic:cNvPicPr>
                      <a:picLocks noChangeAspect="1"/>
                    </pic:cNvPicPr>
                  </pic:nvPicPr>
                  <pic:blipFill>
                    <a:blip r:embed="rId36"/>
                    <a:stretch>
                      <a:fillRect/>
                    </a:stretch>
                  </pic:blipFill>
                  <pic:spPr>
                    <a:xfrm>
                      <a:off x="0" y="0"/>
                      <a:ext cx="2647950" cy="1666240"/>
                    </a:xfrm>
                    <a:prstGeom prst="rect">
                      <a:avLst/>
                    </a:prstGeom>
                    <a:noFill/>
                    <a:ln w="9525">
                      <a:noFill/>
                      <a:miter/>
                    </a:ln>
                  </pic:spPr>
                </pic:pic>
              </a:graphicData>
            </a:graphic>
          </wp:anchor>
        </w:drawing>
      </w: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82" w:firstLineChars="200"/>
        <w:rPr>
          <w:rFonts w:ascii="宋体" w:hAnsi="宋体"/>
        </w:rPr>
      </w:pPr>
      <w:r>
        <w:rPr>
          <w:rFonts w:hint="eastAsia" w:ascii="宋体" w:hAnsi="宋体" w:cs="宋体"/>
          <w:b/>
          <w:sz w:val="24"/>
        </w:rPr>
        <w:drawing>
          <wp:anchor distT="0" distB="0" distL="114300" distR="114300" simplePos="0" relativeHeight="251677696" behindDoc="0" locked="0" layoutInCell="1" allowOverlap="1">
            <wp:simplePos x="0" y="0"/>
            <wp:positionH relativeFrom="column">
              <wp:posOffset>2767965</wp:posOffset>
            </wp:positionH>
            <wp:positionV relativeFrom="paragraph">
              <wp:posOffset>100965</wp:posOffset>
            </wp:positionV>
            <wp:extent cx="2549525" cy="1765300"/>
            <wp:effectExtent l="0" t="0" r="3175" b="6350"/>
            <wp:wrapNone/>
            <wp:docPr id="20" name="图片 21" descr="76b039efe9423ee5f195c6d357d7a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76b039efe9423ee5f195c6d357d7a17(1)"/>
                    <pic:cNvPicPr>
                      <a:picLocks noChangeAspect="1"/>
                    </pic:cNvPicPr>
                  </pic:nvPicPr>
                  <pic:blipFill>
                    <a:blip r:embed="rId37"/>
                    <a:stretch>
                      <a:fillRect/>
                    </a:stretch>
                  </pic:blipFill>
                  <pic:spPr>
                    <a:xfrm>
                      <a:off x="0" y="0"/>
                      <a:ext cx="2549525" cy="1765300"/>
                    </a:xfrm>
                    <a:prstGeom prst="rect">
                      <a:avLst/>
                    </a:prstGeom>
                    <a:noFill/>
                    <a:ln w="9525">
                      <a:noFill/>
                      <a:miter/>
                    </a:ln>
                  </pic:spPr>
                </pic:pic>
              </a:graphicData>
            </a:graphic>
          </wp:anchor>
        </w:drawing>
      </w:r>
      <w:r>
        <w:rPr>
          <w:rFonts w:ascii="宋体" w:hAnsi="宋体"/>
        </w:rPr>
        <w:drawing>
          <wp:anchor distT="0" distB="0" distL="114300" distR="114300" simplePos="0" relativeHeight="251676672" behindDoc="0" locked="0" layoutInCell="1" allowOverlap="1">
            <wp:simplePos x="0" y="0"/>
            <wp:positionH relativeFrom="column">
              <wp:posOffset>-18415</wp:posOffset>
            </wp:positionH>
            <wp:positionV relativeFrom="paragraph">
              <wp:posOffset>128270</wp:posOffset>
            </wp:positionV>
            <wp:extent cx="2686685" cy="1750695"/>
            <wp:effectExtent l="0" t="0" r="18415" b="1905"/>
            <wp:wrapNone/>
            <wp:docPr id="19"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5"/>
                    <pic:cNvPicPr>
                      <a:picLocks noChangeAspect="1"/>
                    </pic:cNvPicPr>
                  </pic:nvPicPr>
                  <pic:blipFill>
                    <a:blip r:embed="rId38"/>
                    <a:stretch>
                      <a:fillRect/>
                    </a:stretch>
                  </pic:blipFill>
                  <pic:spPr>
                    <a:xfrm>
                      <a:off x="0" y="0"/>
                      <a:ext cx="2686685" cy="1750695"/>
                    </a:xfrm>
                    <a:prstGeom prst="rect">
                      <a:avLst/>
                    </a:prstGeom>
                    <a:noFill/>
                    <a:ln w="9525">
                      <a:noFill/>
                      <a:miter/>
                    </a:ln>
                  </pic:spPr>
                </pic:pic>
              </a:graphicData>
            </a:graphic>
          </wp:anchor>
        </w:drawing>
      </w: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p>
    <w:p>
      <w:pPr>
        <w:ind w:firstLine="420" w:firstLineChars="200"/>
        <w:rPr>
          <w:rFonts w:ascii="宋体" w:hAnsi="宋体"/>
        </w:rPr>
      </w:pPr>
      <w:r>
        <w:rPr>
          <w:rFonts w:hint="eastAsia" w:ascii="宋体" w:hAnsi="宋体"/>
        </w:rPr>
        <w:t xml:space="preserve">                                            </w:t>
      </w:r>
    </w:p>
    <w:bookmarkEnd w:id="28"/>
    <w:p>
      <w:pPr>
        <w:pStyle w:val="24"/>
        <w:wordWrap w:val="0"/>
        <w:spacing w:line="360" w:lineRule="auto"/>
        <w:ind w:firstLine="3360" w:firstLineChars="1600"/>
        <w:rPr>
          <w:rFonts w:ascii="宋体" w:hAnsi="宋体"/>
          <w:b/>
          <w:szCs w:val="21"/>
        </w:rPr>
      </w:pPr>
      <w:r>
        <w:rPr>
          <w:rFonts w:hint="eastAsia" w:ascii="宋体" w:hAnsi="宋体"/>
        </w:rPr>
        <w:t>志愿者平时活动照片</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 w:name="Arial">
    <w:panose1 w:val="020B0604020202020204"/>
    <w:charset w:val="00"/>
    <w:family w:val="swiss"/>
    <w:pitch w:val="default"/>
    <w:sig w:usb0="E0002AFF" w:usb1="C0007843" w:usb2="00000009" w:usb3="00000000" w:csb0="400001FF" w:csb1="FFFF0000"/>
  </w:font>
  <w:font w:name="Sans Serif 5cpi">
    <w:altName w:val="Lucida Console"/>
    <w:panose1 w:val="00000000000000000000"/>
    <w:charset w:val="00"/>
    <w:family w:val="auto"/>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MS Mincho">
    <w:panose1 w:val="02020609040205080304"/>
    <w:charset w:val="80"/>
    <w:family w:val="roma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1975BC"/>
    <w:multiLevelType w:val="singleLevel"/>
    <w:tmpl w:val="8E1975BC"/>
    <w:lvl w:ilvl="0" w:tentative="0">
      <w:start w:val="1"/>
      <w:numFmt w:val="decimal"/>
      <w:suff w:val="nothing"/>
      <w:lvlText w:val="%1、"/>
      <w:lvlJc w:val="left"/>
    </w:lvl>
  </w:abstractNum>
  <w:abstractNum w:abstractNumId="1">
    <w:nsid w:val="33157444"/>
    <w:multiLevelType w:val="multilevel"/>
    <w:tmpl w:val="33157444"/>
    <w:lvl w:ilvl="0" w:tentative="0">
      <w:start w:val="1"/>
      <w:numFmt w:val="lowerLetter"/>
      <w:lvlText w:val="%1)"/>
      <w:lvlJc w:val="left"/>
      <w:pPr>
        <w:ind w:left="1380" w:hanging="420"/>
      </w:p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
    <w:nsid w:val="6087D2FF"/>
    <w:multiLevelType w:val="singleLevel"/>
    <w:tmpl w:val="6087D2FF"/>
    <w:lvl w:ilvl="0" w:tentative="0">
      <w:start w:val="1"/>
      <w:numFmt w:val="chineseCounting"/>
      <w:suff w:val="nothing"/>
      <w:lvlText w:val="%1、"/>
      <w:lvlJc w:val="left"/>
      <w:pPr>
        <w:ind w:left="0" w:firstLine="420"/>
      </w:pPr>
      <w:rPr>
        <w:rFonts w:hint="eastAsia"/>
      </w:rPr>
    </w:lvl>
  </w:abstractNum>
  <w:abstractNum w:abstractNumId="3">
    <w:nsid w:val="6088A8A1"/>
    <w:multiLevelType w:val="singleLevel"/>
    <w:tmpl w:val="6088A8A1"/>
    <w:lvl w:ilvl="0" w:tentative="0">
      <w:start w:val="5"/>
      <w:numFmt w:val="chineseCounting"/>
      <w:suff w:val="nothing"/>
      <w:lvlText w:val="%1、"/>
      <w:lvlJc w:val="left"/>
      <w:pPr>
        <w:ind w:left="0" w:firstLine="420"/>
      </w:pPr>
      <w:rPr>
        <w:rFonts w:hint="eastAsia"/>
      </w:rPr>
    </w:lvl>
  </w:abstractNum>
  <w:abstractNum w:abstractNumId="4">
    <w:nsid w:val="6088A8C6"/>
    <w:multiLevelType w:val="singleLevel"/>
    <w:tmpl w:val="6088A8C6"/>
    <w:lvl w:ilvl="0" w:tentative="0">
      <w:start w:val="6"/>
      <w:numFmt w:val="chineseCounting"/>
      <w:suff w:val="nothing"/>
      <w:lvlText w:val="%1、"/>
      <w:lvlJc w:val="left"/>
      <w:pPr>
        <w:ind w:left="0" w:firstLine="420"/>
      </w:pPr>
      <w:rPr>
        <w:rFonts w:hint="eastAsia"/>
      </w:rPr>
    </w:lvl>
  </w:abstractNum>
  <w:abstractNum w:abstractNumId="5">
    <w:nsid w:val="6088A8F3"/>
    <w:multiLevelType w:val="singleLevel"/>
    <w:tmpl w:val="6088A8F3"/>
    <w:lvl w:ilvl="0" w:tentative="0">
      <w:start w:val="1"/>
      <w:numFmt w:val="decimal"/>
      <w:suff w:val="nothing"/>
      <w:lvlText w:val="%1、"/>
      <w:lvlJc w:val="left"/>
      <w:pPr>
        <w:ind w:left="0" w:firstLine="400"/>
      </w:pPr>
      <w:rPr>
        <w:rFonts w:hint="default"/>
      </w:rPr>
    </w:lvl>
  </w:abstractNum>
  <w:abstractNum w:abstractNumId="6">
    <w:nsid w:val="6088A917"/>
    <w:multiLevelType w:val="singleLevel"/>
    <w:tmpl w:val="6088A917"/>
    <w:lvl w:ilvl="0" w:tentative="0">
      <w:start w:val="2"/>
      <w:numFmt w:val="decimal"/>
      <w:suff w:val="nothing"/>
      <w:lvlText w:val="%1、"/>
      <w:lvlJc w:val="left"/>
      <w:pPr>
        <w:ind w:left="0" w:firstLine="400"/>
      </w:pPr>
      <w:rPr>
        <w:rFonts w:hint="default"/>
      </w:rPr>
    </w:lvl>
  </w:abstractNum>
  <w:abstractNum w:abstractNumId="7">
    <w:nsid w:val="6088A933"/>
    <w:multiLevelType w:val="singleLevel"/>
    <w:tmpl w:val="6088A933"/>
    <w:lvl w:ilvl="0" w:tentative="0">
      <w:start w:val="7"/>
      <w:numFmt w:val="chineseCounting"/>
      <w:suff w:val="nothing"/>
      <w:lvlText w:val="%1、"/>
      <w:lvlJc w:val="left"/>
      <w:pPr>
        <w:ind w:left="0" w:firstLine="420"/>
      </w:pPr>
      <w:rPr>
        <w:rFonts w:hint="eastAsia"/>
      </w:rPr>
    </w:lvl>
  </w:abstractNum>
  <w:abstractNum w:abstractNumId="8">
    <w:nsid w:val="6088A951"/>
    <w:multiLevelType w:val="singleLevel"/>
    <w:tmpl w:val="6088A951"/>
    <w:lvl w:ilvl="0" w:tentative="0">
      <w:start w:val="1"/>
      <w:numFmt w:val="decimal"/>
      <w:suff w:val="nothing"/>
      <w:lvlText w:val="%1、"/>
      <w:lvlJc w:val="left"/>
      <w:pPr>
        <w:ind w:left="0" w:firstLine="400"/>
      </w:pPr>
      <w:rPr>
        <w:rFonts w:hint="default"/>
      </w:rPr>
    </w:lvl>
  </w:abstractNum>
  <w:abstractNum w:abstractNumId="9">
    <w:nsid w:val="6088A972"/>
    <w:multiLevelType w:val="singleLevel"/>
    <w:tmpl w:val="6088A972"/>
    <w:lvl w:ilvl="0" w:tentative="0">
      <w:start w:val="2"/>
      <w:numFmt w:val="decimal"/>
      <w:suff w:val="nothing"/>
      <w:lvlText w:val="%1、"/>
      <w:lvlJc w:val="left"/>
      <w:pPr>
        <w:ind w:left="0" w:firstLine="400"/>
      </w:pPr>
      <w:rPr>
        <w:rFonts w:hint="default"/>
      </w:rPr>
    </w:lvl>
  </w:abstractNum>
  <w:abstractNum w:abstractNumId="10">
    <w:nsid w:val="6088A992"/>
    <w:multiLevelType w:val="singleLevel"/>
    <w:tmpl w:val="6088A992"/>
    <w:lvl w:ilvl="0" w:tentative="0">
      <w:start w:val="3"/>
      <w:numFmt w:val="decimal"/>
      <w:suff w:val="nothing"/>
      <w:lvlText w:val="%1、"/>
      <w:lvlJc w:val="left"/>
      <w:pPr>
        <w:ind w:left="0" w:firstLine="400"/>
      </w:pPr>
      <w:rPr>
        <w:rFonts w:hint="default"/>
      </w:rPr>
    </w:lvl>
  </w:abstractNum>
  <w:abstractNum w:abstractNumId="11">
    <w:nsid w:val="6088A9AF"/>
    <w:multiLevelType w:val="singleLevel"/>
    <w:tmpl w:val="6088A9AF"/>
    <w:lvl w:ilvl="0" w:tentative="0">
      <w:start w:val="8"/>
      <w:numFmt w:val="chineseCounting"/>
      <w:suff w:val="nothing"/>
      <w:lvlText w:val="%1、"/>
      <w:lvlJc w:val="left"/>
      <w:pPr>
        <w:ind w:left="0" w:firstLine="420"/>
      </w:pPr>
      <w:rPr>
        <w:rFonts w:hint="eastAsia"/>
      </w:rPr>
    </w:lvl>
  </w:abstractNum>
  <w:abstractNum w:abstractNumId="12">
    <w:nsid w:val="6088A9E0"/>
    <w:multiLevelType w:val="singleLevel"/>
    <w:tmpl w:val="6088A9E0"/>
    <w:lvl w:ilvl="0" w:tentative="0">
      <w:start w:val="1"/>
      <w:numFmt w:val="decimal"/>
      <w:suff w:val="nothing"/>
      <w:lvlText w:val="%1、"/>
      <w:lvlJc w:val="left"/>
      <w:pPr>
        <w:ind w:left="0" w:firstLine="400"/>
      </w:pPr>
      <w:rPr>
        <w:rFonts w:hint="default"/>
      </w:rPr>
    </w:lvl>
  </w:abstractNum>
  <w:abstractNum w:abstractNumId="13">
    <w:nsid w:val="6088AA2E"/>
    <w:multiLevelType w:val="singleLevel"/>
    <w:tmpl w:val="6088AA2E"/>
    <w:lvl w:ilvl="0" w:tentative="0">
      <w:start w:val="2"/>
      <w:numFmt w:val="decimal"/>
      <w:suff w:val="nothing"/>
      <w:lvlText w:val="%1、"/>
      <w:lvlJc w:val="left"/>
      <w:pPr>
        <w:ind w:left="0" w:firstLine="400"/>
      </w:pPr>
      <w:rPr>
        <w:rFonts w:hint="default"/>
      </w:rPr>
    </w:lvl>
  </w:abstractNum>
  <w:abstractNum w:abstractNumId="14">
    <w:nsid w:val="6088AA49"/>
    <w:multiLevelType w:val="singleLevel"/>
    <w:tmpl w:val="6088AA49"/>
    <w:lvl w:ilvl="0" w:tentative="0">
      <w:start w:val="3"/>
      <w:numFmt w:val="decimal"/>
      <w:suff w:val="nothing"/>
      <w:lvlText w:val="%1、"/>
      <w:lvlJc w:val="left"/>
      <w:pPr>
        <w:ind w:left="0" w:firstLine="400"/>
      </w:pPr>
      <w:rPr>
        <w:rFonts w:hint="default"/>
      </w:rPr>
    </w:lvl>
  </w:abstractNum>
  <w:abstractNum w:abstractNumId="15">
    <w:nsid w:val="6088AA8E"/>
    <w:multiLevelType w:val="singleLevel"/>
    <w:tmpl w:val="6088AA8E"/>
    <w:lvl w:ilvl="0" w:tentative="0">
      <w:start w:val="4"/>
      <w:numFmt w:val="decimal"/>
      <w:suff w:val="nothing"/>
      <w:lvlText w:val="%1、"/>
      <w:lvlJc w:val="left"/>
      <w:pPr>
        <w:ind w:left="0" w:firstLine="400"/>
      </w:pPr>
      <w:rPr>
        <w:rFonts w:hint="default"/>
      </w:rPr>
    </w:lvl>
  </w:abstractNum>
  <w:abstractNum w:abstractNumId="16">
    <w:nsid w:val="6088AAB6"/>
    <w:multiLevelType w:val="singleLevel"/>
    <w:tmpl w:val="6088AAB6"/>
    <w:lvl w:ilvl="0" w:tentative="0">
      <w:start w:val="5"/>
      <w:numFmt w:val="decimal"/>
      <w:suff w:val="nothing"/>
      <w:lvlText w:val="%1、"/>
      <w:lvlJc w:val="left"/>
      <w:pPr>
        <w:ind w:left="0" w:firstLine="403"/>
      </w:pPr>
      <w:rPr>
        <w:rFonts w:hint="default"/>
      </w:rPr>
    </w:lvl>
  </w:abstractNum>
  <w:abstractNum w:abstractNumId="17">
    <w:nsid w:val="6088AAE7"/>
    <w:multiLevelType w:val="singleLevel"/>
    <w:tmpl w:val="6088AAE7"/>
    <w:lvl w:ilvl="0" w:tentative="0">
      <w:start w:val="9"/>
      <w:numFmt w:val="chineseCounting"/>
      <w:suff w:val="nothing"/>
      <w:lvlText w:val="%1、"/>
      <w:lvlJc w:val="left"/>
      <w:pPr>
        <w:ind w:left="0" w:firstLine="420"/>
      </w:pPr>
      <w:rPr>
        <w:rFonts w:hint="eastAsia"/>
      </w:rPr>
    </w:lvl>
  </w:abstractNum>
  <w:abstractNum w:abstractNumId="18">
    <w:nsid w:val="6088AB06"/>
    <w:multiLevelType w:val="singleLevel"/>
    <w:tmpl w:val="6088AB06"/>
    <w:lvl w:ilvl="0" w:tentative="0">
      <w:start w:val="10"/>
      <w:numFmt w:val="chineseCounting"/>
      <w:suff w:val="nothing"/>
      <w:lvlText w:val="%1、"/>
      <w:lvlJc w:val="left"/>
      <w:pPr>
        <w:ind w:left="0" w:firstLine="420"/>
      </w:pPr>
      <w:rPr>
        <w:rFonts w:hint="eastAsia"/>
      </w:rPr>
    </w:lvl>
  </w:abstractNum>
  <w:abstractNum w:abstractNumId="19">
    <w:nsid w:val="6088AB20"/>
    <w:multiLevelType w:val="singleLevel"/>
    <w:tmpl w:val="6088AB20"/>
    <w:lvl w:ilvl="0" w:tentative="0">
      <w:start w:val="1"/>
      <w:numFmt w:val="decimal"/>
      <w:suff w:val="nothing"/>
      <w:lvlText w:val="%1、"/>
      <w:lvlJc w:val="left"/>
      <w:pPr>
        <w:ind w:left="0" w:firstLine="403"/>
      </w:pPr>
      <w:rPr>
        <w:rFonts w:hint="default"/>
      </w:rPr>
    </w:lvl>
  </w:abstractNum>
  <w:abstractNum w:abstractNumId="20">
    <w:nsid w:val="6088ABF8"/>
    <w:multiLevelType w:val="singleLevel"/>
    <w:tmpl w:val="6088ABF8"/>
    <w:lvl w:ilvl="0" w:tentative="0">
      <w:start w:val="2"/>
      <w:numFmt w:val="decimal"/>
      <w:suff w:val="nothing"/>
      <w:lvlText w:val="%1、"/>
      <w:lvlJc w:val="left"/>
      <w:pPr>
        <w:tabs>
          <w:tab w:val="left" w:pos="0"/>
        </w:tabs>
        <w:ind w:left="0" w:firstLine="403"/>
      </w:pPr>
      <w:rPr>
        <w:rFonts w:hint="default"/>
        <w:b/>
        <w:sz w:val="32"/>
      </w:rPr>
    </w:lvl>
  </w:abstractNum>
  <w:abstractNum w:abstractNumId="21">
    <w:nsid w:val="6088AD31"/>
    <w:multiLevelType w:val="singleLevel"/>
    <w:tmpl w:val="6088AD31"/>
    <w:lvl w:ilvl="0" w:tentative="0">
      <w:start w:val="1"/>
      <w:numFmt w:val="decimal"/>
      <w:suff w:val="nothing"/>
      <w:lvlText w:val="%1、"/>
      <w:lvlJc w:val="left"/>
      <w:pPr>
        <w:ind w:left="0" w:firstLine="403"/>
      </w:pPr>
      <w:rPr>
        <w:rFonts w:hint="default"/>
      </w:rPr>
    </w:lvl>
  </w:abstractNum>
  <w:abstractNum w:abstractNumId="22">
    <w:nsid w:val="6088ADF3"/>
    <w:multiLevelType w:val="singleLevel"/>
    <w:tmpl w:val="6088ADF3"/>
    <w:lvl w:ilvl="0" w:tentative="0">
      <w:start w:val="2"/>
      <w:numFmt w:val="decimal"/>
      <w:suff w:val="nothing"/>
      <w:lvlText w:val="%1、"/>
      <w:lvlJc w:val="left"/>
      <w:pPr>
        <w:tabs>
          <w:tab w:val="left" w:pos="0"/>
        </w:tabs>
        <w:ind w:left="0" w:firstLine="403"/>
      </w:pPr>
      <w:rPr>
        <w:rFonts w:hint="default"/>
        <w:sz w:val="32"/>
      </w:rPr>
    </w:lvl>
  </w:abstractNum>
  <w:num w:numId="1">
    <w:abstractNumId w:val="2"/>
  </w:num>
  <w:num w:numId="2">
    <w:abstractNumId w:val="21"/>
  </w:num>
  <w:num w:numId="3">
    <w:abstractNumId w:val="2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0"/>
  </w:num>
  <w:num w:numId="20">
    <w:abstractNumId w:val="1"/>
  </w:num>
  <w:num w:numId="21">
    <w:abstractNumId w:val="18"/>
  </w:num>
  <w:num w:numId="22">
    <w:abstractNumId w:val="1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07F5"/>
    <w:rsid w:val="00035E93"/>
    <w:rsid w:val="00037858"/>
    <w:rsid w:val="000406CC"/>
    <w:rsid w:val="00041287"/>
    <w:rsid w:val="00051CDC"/>
    <w:rsid w:val="000643BC"/>
    <w:rsid w:val="00064FFB"/>
    <w:rsid w:val="00067495"/>
    <w:rsid w:val="000959A1"/>
    <w:rsid w:val="000D46F1"/>
    <w:rsid w:val="000D6735"/>
    <w:rsid w:val="000E01E1"/>
    <w:rsid w:val="000E35B6"/>
    <w:rsid w:val="001027B9"/>
    <w:rsid w:val="00103E43"/>
    <w:rsid w:val="001179BB"/>
    <w:rsid w:val="00133062"/>
    <w:rsid w:val="00135608"/>
    <w:rsid w:val="00147452"/>
    <w:rsid w:val="001505F9"/>
    <w:rsid w:val="00151A4B"/>
    <w:rsid w:val="00152516"/>
    <w:rsid w:val="00153E67"/>
    <w:rsid w:val="00172A27"/>
    <w:rsid w:val="0019082C"/>
    <w:rsid w:val="00191BA6"/>
    <w:rsid w:val="001A5033"/>
    <w:rsid w:val="001A5E8E"/>
    <w:rsid w:val="001A60C2"/>
    <w:rsid w:val="001D3495"/>
    <w:rsid w:val="001E048C"/>
    <w:rsid w:val="001E4418"/>
    <w:rsid w:val="001F446E"/>
    <w:rsid w:val="00200861"/>
    <w:rsid w:val="002069EE"/>
    <w:rsid w:val="00221FE5"/>
    <w:rsid w:val="002227DC"/>
    <w:rsid w:val="00225A05"/>
    <w:rsid w:val="00227494"/>
    <w:rsid w:val="00232BD4"/>
    <w:rsid w:val="00247C4B"/>
    <w:rsid w:val="002531EF"/>
    <w:rsid w:val="00253CFE"/>
    <w:rsid w:val="00285497"/>
    <w:rsid w:val="002B1BD3"/>
    <w:rsid w:val="002C6D14"/>
    <w:rsid w:val="002E342F"/>
    <w:rsid w:val="002F5220"/>
    <w:rsid w:val="00303067"/>
    <w:rsid w:val="00331F39"/>
    <w:rsid w:val="0033367F"/>
    <w:rsid w:val="00350615"/>
    <w:rsid w:val="00356169"/>
    <w:rsid w:val="003703F0"/>
    <w:rsid w:val="00384CB3"/>
    <w:rsid w:val="00390D69"/>
    <w:rsid w:val="0039385D"/>
    <w:rsid w:val="00394BCB"/>
    <w:rsid w:val="003A0F36"/>
    <w:rsid w:val="003A7DD9"/>
    <w:rsid w:val="003B74D4"/>
    <w:rsid w:val="003B7BE0"/>
    <w:rsid w:val="003C08B8"/>
    <w:rsid w:val="003C45CF"/>
    <w:rsid w:val="003D59A4"/>
    <w:rsid w:val="00432516"/>
    <w:rsid w:val="00433423"/>
    <w:rsid w:val="00434B85"/>
    <w:rsid w:val="00461811"/>
    <w:rsid w:val="004765AD"/>
    <w:rsid w:val="004943F1"/>
    <w:rsid w:val="004974B2"/>
    <w:rsid w:val="004A6AB7"/>
    <w:rsid w:val="004B0BFD"/>
    <w:rsid w:val="004C38F6"/>
    <w:rsid w:val="004C40F2"/>
    <w:rsid w:val="004D29A4"/>
    <w:rsid w:val="004D62F8"/>
    <w:rsid w:val="005155E3"/>
    <w:rsid w:val="00516A7E"/>
    <w:rsid w:val="00520A6E"/>
    <w:rsid w:val="0052242F"/>
    <w:rsid w:val="00542CF0"/>
    <w:rsid w:val="00563799"/>
    <w:rsid w:val="00582869"/>
    <w:rsid w:val="005A541E"/>
    <w:rsid w:val="005A5A6B"/>
    <w:rsid w:val="005B458E"/>
    <w:rsid w:val="005B4887"/>
    <w:rsid w:val="005B5AFC"/>
    <w:rsid w:val="005C1391"/>
    <w:rsid w:val="005C4A84"/>
    <w:rsid w:val="006000FB"/>
    <w:rsid w:val="00602025"/>
    <w:rsid w:val="00610AA0"/>
    <w:rsid w:val="00613D7C"/>
    <w:rsid w:val="00613FDA"/>
    <w:rsid w:val="0063000C"/>
    <w:rsid w:val="00632FBC"/>
    <w:rsid w:val="00634C26"/>
    <w:rsid w:val="00637A47"/>
    <w:rsid w:val="00647487"/>
    <w:rsid w:val="00652903"/>
    <w:rsid w:val="006544E6"/>
    <w:rsid w:val="006856E1"/>
    <w:rsid w:val="00686118"/>
    <w:rsid w:val="006912C2"/>
    <w:rsid w:val="006A2C76"/>
    <w:rsid w:val="006A40FC"/>
    <w:rsid w:val="006A4E28"/>
    <w:rsid w:val="006A6A51"/>
    <w:rsid w:val="006B250A"/>
    <w:rsid w:val="006B4018"/>
    <w:rsid w:val="006E369A"/>
    <w:rsid w:val="006E491F"/>
    <w:rsid w:val="006E63A0"/>
    <w:rsid w:val="006F209D"/>
    <w:rsid w:val="006F3C49"/>
    <w:rsid w:val="00705EE5"/>
    <w:rsid w:val="00716481"/>
    <w:rsid w:val="00747662"/>
    <w:rsid w:val="00760DBE"/>
    <w:rsid w:val="00762C1E"/>
    <w:rsid w:val="00764912"/>
    <w:rsid w:val="00797535"/>
    <w:rsid w:val="007977C6"/>
    <w:rsid w:val="007A1665"/>
    <w:rsid w:val="007A1FD7"/>
    <w:rsid w:val="007A43FE"/>
    <w:rsid w:val="007B33C3"/>
    <w:rsid w:val="007B43F3"/>
    <w:rsid w:val="007C4447"/>
    <w:rsid w:val="007D5C8F"/>
    <w:rsid w:val="007F0DC3"/>
    <w:rsid w:val="008053AC"/>
    <w:rsid w:val="00806562"/>
    <w:rsid w:val="0081215C"/>
    <w:rsid w:val="00813580"/>
    <w:rsid w:val="0081687F"/>
    <w:rsid w:val="00837439"/>
    <w:rsid w:val="0083799E"/>
    <w:rsid w:val="00843ED9"/>
    <w:rsid w:val="00846925"/>
    <w:rsid w:val="00857D02"/>
    <w:rsid w:val="0088079B"/>
    <w:rsid w:val="00882FEB"/>
    <w:rsid w:val="008A7C26"/>
    <w:rsid w:val="008C46CD"/>
    <w:rsid w:val="008D7C14"/>
    <w:rsid w:val="008F14D1"/>
    <w:rsid w:val="008F314B"/>
    <w:rsid w:val="00912E1C"/>
    <w:rsid w:val="009163BA"/>
    <w:rsid w:val="00920C1E"/>
    <w:rsid w:val="00950999"/>
    <w:rsid w:val="00960FE9"/>
    <w:rsid w:val="00984CF9"/>
    <w:rsid w:val="00997340"/>
    <w:rsid w:val="009A03FE"/>
    <w:rsid w:val="009B5DB5"/>
    <w:rsid w:val="009D121A"/>
    <w:rsid w:val="009D6464"/>
    <w:rsid w:val="00A04819"/>
    <w:rsid w:val="00A10D10"/>
    <w:rsid w:val="00A16E16"/>
    <w:rsid w:val="00A22074"/>
    <w:rsid w:val="00A46A54"/>
    <w:rsid w:val="00A62DCD"/>
    <w:rsid w:val="00A63560"/>
    <w:rsid w:val="00A674C2"/>
    <w:rsid w:val="00A73313"/>
    <w:rsid w:val="00A8087E"/>
    <w:rsid w:val="00A81784"/>
    <w:rsid w:val="00A95833"/>
    <w:rsid w:val="00AA1FBB"/>
    <w:rsid w:val="00AA7BC4"/>
    <w:rsid w:val="00AD49F1"/>
    <w:rsid w:val="00AE737D"/>
    <w:rsid w:val="00B22C73"/>
    <w:rsid w:val="00B23C46"/>
    <w:rsid w:val="00B55650"/>
    <w:rsid w:val="00B57122"/>
    <w:rsid w:val="00B61985"/>
    <w:rsid w:val="00B65F86"/>
    <w:rsid w:val="00B74DF4"/>
    <w:rsid w:val="00B877F9"/>
    <w:rsid w:val="00BD51C4"/>
    <w:rsid w:val="00C0023B"/>
    <w:rsid w:val="00C02AEB"/>
    <w:rsid w:val="00C155C2"/>
    <w:rsid w:val="00C30843"/>
    <w:rsid w:val="00C3594D"/>
    <w:rsid w:val="00C41373"/>
    <w:rsid w:val="00C97A50"/>
    <w:rsid w:val="00CA316B"/>
    <w:rsid w:val="00CC3906"/>
    <w:rsid w:val="00CC46E4"/>
    <w:rsid w:val="00CC6BA5"/>
    <w:rsid w:val="00CE301A"/>
    <w:rsid w:val="00D000F4"/>
    <w:rsid w:val="00D10DCC"/>
    <w:rsid w:val="00D12408"/>
    <w:rsid w:val="00D75496"/>
    <w:rsid w:val="00D80F1D"/>
    <w:rsid w:val="00D81325"/>
    <w:rsid w:val="00DA316A"/>
    <w:rsid w:val="00DB197D"/>
    <w:rsid w:val="00DB20A6"/>
    <w:rsid w:val="00DC427B"/>
    <w:rsid w:val="00DD3AEE"/>
    <w:rsid w:val="00DF6E30"/>
    <w:rsid w:val="00E174F3"/>
    <w:rsid w:val="00E178FB"/>
    <w:rsid w:val="00E31C8D"/>
    <w:rsid w:val="00E32F3C"/>
    <w:rsid w:val="00E4638E"/>
    <w:rsid w:val="00E47FE4"/>
    <w:rsid w:val="00E506C7"/>
    <w:rsid w:val="00E52B8E"/>
    <w:rsid w:val="00E576E5"/>
    <w:rsid w:val="00E60A1F"/>
    <w:rsid w:val="00E6769D"/>
    <w:rsid w:val="00E84013"/>
    <w:rsid w:val="00E964CE"/>
    <w:rsid w:val="00EA00DB"/>
    <w:rsid w:val="00EB2680"/>
    <w:rsid w:val="00EB5A6F"/>
    <w:rsid w:val="00EB60DB"/>
    <w:rsid w:val="00EE4699"/>
    <w:rsid w:val="00EF2AD6"/>
    <w:rsid w:val="00EF7EC0"/>
    <w:rsid w:val="00F036BF"/>
    <w:rsid w:val="00F06901"/>
    <w:rsid w:val="00F11454"/>
    <w:rsid w:val="00F223FE"/>
    <w:rsid w:val="00F23E6E"/>
    <w:rsid w:val="00F240BA"/>
    <w:rsid w:val="00F36A52"/>
    <w:rsid w:val="00F441DF"/>
    <w:rsid w:val="00F45487"/>
    <w:rsid w:val="00F46F4A"/>
    <w:rsid w:val="00F65B57"/>
    <w:rsid w:val="00F86E34"/>
    <w:rsid w:val="00F91A3B"/>
    <w:rsid w:val="00F96F65"/>
    <w:rsid w:val="00FA27B5"/>
    <w:rsid w:val="00FE2EA2"/>
    <w:rsid w:val="00FF353E"/>
    <w:rsid w:val="014C52EB"/>
    <w:rsid w:val="016B286D"/>
    <w:rsid w:val="022236FF"/>
    <w:rsid w:val="02B83D71"/>
    <w:rsid w:val="03AD5BE4"/>
    <w:rsid w:val="03ED25D1"/>
    <w:rsid w:val="05A47A62"/>
    <w:rsid w:val="07255803"/>
    <w:rsid w:val="07731024"/>
    <w:rsid w:val="08454C47"/>
    <w:rsid w:val="090E4A9D"/>
    <w:rsid w:val="094D194F"/>
    <w:rsid w:val="099204E2"/>
    <w:rsid w:val="0A2B5F1D"/>
    <w:rsid w:val="0B7F16BB"/>
    <w:rsid w:val="0C255CF9"/>
    <w:rsid w:val="0C2A4FCB"/>
    <w:rsid w:val="0CCB4F0E"/>
    <w:rsid w:val="0D181032"/>
    <w:rsid w:val="0D8137F5"/>
    <w:rsid w:val="0DA267EC"/>
    <w:rsid w:val="0DEC306D"/>
    <w:rsid w:val="0ED1695E"/>
    <w:rsid w:val="0FCF5DF7"/>
    <w:rsid w:val="102A48D1"/>
    <w:rsid w:val="10300ADA"/>
    <w:rsid w:val="109525A4"/>
    <w:rsid w:val="11D85FA2"/>
    <w:rsid w:val="144045A9"/>
    <w:rsid w:val="149C6328"/>
    <w:rsid w:val="15191D5A"/>
    <w:rsid w:val="156323EC"/>
    <w:rsid w:val="169D5462"/>
    <w:rsid w:val="18D527D4"/>
    <w:rsid w:val="19A72C8B"/>
    <w:rsid w:val="19B86F1F"/>
    <w:rsid w:val="19ED01D8"/>
    <w:rsid w:val="1B565CA5"/>
    <w:rsid w:val="1BF33482"/>
    <w:rsid w:val="1BFF7BDC"/>
    <w:rsid w:val="1D403077"/>
    <w:rsid w:val="1E532549"/>
    <w:rsid w:val="1ED628F6"/>
    <w:rsid w:val="1EE929A1"/>
    <w:rsid w:val="20656BA7"/>
    <w:rsid w:val="20DF784F"/>
    <w:rsid w:val="21130EA7"/>
    <w:rsid w:val="21887A4F"/>
    <w:rsid w:val="230B22FC"/>
    <w:rsid w:val="23595CE6"/>
    <w:rsid w:val="23EA19B3"/>
    <w:rsid w:val="241A68FF"/>
    <w:rsid w:val="268377F8"/>
    <w:rsid w:val="2A3B368E"/>
    <w:rsid w:val="2B111FE7"/>
    <w:rsid w:val="2B3B02A8"/>
    <w:rsid w:val="2BAE79AD"/>
    <w:rsid w:val="2F0541F3"/>
    <w:rsid w:val="32120C39"/>
    <w:rsid w:val="32760FC8"/>
    <w:rsid w:val="339E13DB"/>
    <w:rsid w:val="340C7510"/>
    <w:rsid w:val="361B5F16"/>
    <w:rsid w:val="37424D28"/>
    <w:rsid w:val="37E06563"/>
    <w:rsid w:val="39C12083"/>
    <w:rsid w:val="3AA60E18"/>
    <w:rsid w:val="3C341A45"/>
    <w:rsid w:val="3D10546C"/>
    <w:rsid w:val="3D5F2041"/>
    <w:rsid w:val="3ED62F58"/>
    <w:rsid w:val="40834387"/>
    <w:rsid w:val="41324EDB"/>
    <w:rsid w:val="41F96777"/>
    <w:rsid w:val="42276876"/>
    <w:rsid w:val="435B5B19"/>
    <w:rsid w:val="45E90F89"/>
    <w:rsid w:val="46406BC7"/>
    <w:rsid w:val="473A7955"/>
    <w:rsid w:val="47582BF0"/>
    <w:rsid w:val="478D6A41"/>
    <w:rsid w:val="479B02DF"/>
    <w:rsid w:val="4998136A"/>
    <w:rsid w:val="4A9B5439"/>
    <w:rsid w:val="4B1D425D"/>
    <w:rsid w:val="4BE02412"/>
    <w:rsid w:val="4BF5225F"/>
    <w:rsid w:val="4C8368B1"/>
    <w:rsid w:val="4CC1473A"/>
    <w:rsid w:val="4CEE2E92"/>
    <w:rsid w:val="4CF83AFB"/>
    <w:rsid w:val="4D571F08"/>
    <w:rsid w:val="4E0955AB"/>
    <w:rsid w:val="4E27583A"/>
    <w:rsid w:val="50E955CA"/>
    <w:rsid w:val="518B6815"/>
    <w:rsid w:val="51A74DC2"/>
    <w:rsid w:val="52516295"/>
    <w:rsid w:val="52FD3F90"/>
    <w:rsid w:val="55076632"/>
    <w:rsid w:val="553636B7"/>
    <w:rsid w:val="55581D29"/>
    <w:rsid w:val="591D7E08"/>
    <w:rsid w:val="59887B8E"/>
    <w:rsid w:val="59BE4A95"/>
    <w:rsid w:val="5A9A26FC"/>
    <w:rsid w:val="5E4965B3"/>
    <w:rsid w:val="5F4A66FD"/>
    <w:rsid w:val="5F8A14E9"/>
    <w:rsid w:val="5FEB0B0E"/>
    <w:rsid w:val="6090585D"/>
    <w:rsid w:val="60C35B16"/>
    <w:rsid w:val="6121378F"/>
    <w:rsid w:val="636445F3"/>
    <w:rsid w:val="636B2441"/>
    <w:rsid w:val="65302D39"/>
    <w:rsid w:val="6645547E"/>
    <w:rsid w:val="666B5CA0"/>
    <w:rsid w:val="672046C3"/>
    <w:rsid w:val="676357B7"/>
    <w:rsid w:val="6776571C"/>
    <w:rsid w:val="680311CF"/>
    <w:rsid w:val="6940656F"/>
    <w:rsid w:val="695A5E15"/>
    <w:rsid w:val="6A276B19"/>
    <w:rsid w:val="6C81101F"/>
    <w:rsid w:val="6C87107F"/>
    <w:rsid w:val="6D051BBF"/>
    <w:rsid w:val="6D475B78"/>
    <w:rsid w:val="6E83100D"/>
    <w:rsid w:val="6F947E34"/>
    <w:rsid w:val="71371899"/>
    <w:rsid w:val="71496283"/>
    <w:rsid w:val="71804C6B"/>
    <w:rsid w:val="72113BDD"/>
    <w:rsid w:val="72913612"/>
    <w:rsid w:val="729329F0"/>
    <w:rsid w:val="733F462C"/>
    <w:rsid w:val="73C714F0"/>
    <w:rsid w:val="73DB5E02"/>
    <w:rsid w:val="73DD1001"/>
    <w:rsid w:val="73E6683E"/>
    <w:rsid w:val="745515C2"/>
    <w:rsid w:val="747C42E5"/>
    <w:rsid w:val="74C3478F"/>
    <w:rsid w:val="75373605"/>
    <w:rsid w:val="75934C83"/>
    <w:rsid w:val="75DE70E0"/>
    <w:rsid w:val="76AC6134"/>
    <w:rsid w:val="772814EE"/>
    <w:rsid w:val="7780537F"/>
    <w:rsid w:val="781E10EC"/>
    <w:rsid w:val="786A7788"/>
    <w:rsid w:val="795D092F"/>
    <w:rsid w:val="797511A0"/>
    <w:rsid w:val="79B97E53"/>
    <w:rsid w:val="7B9C4099"/>
    <w:rsid w:val="7C1C1D49"/>
    <w:rsid w:val="7D3B0BB0"/>
    <w:rsid w:val="7DBA7A66"/>
    <w:rsid w:val="7E8D2207"/>
    <w:rsid w:val="7E9273A7"/>
    <w:rsid w:val="7EA11AE4"/>
    <w:rsid w:val="7F1C1669"/>
    <w:rsid w:val="7F597C7A"/>
    <w:rsid w:val="7FA70621"/>
    <w:rsid w:val="7FDC4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PMingLiU"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28"/>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6"/>
    <w:qFormat/>
    <w:uiPriority w:val="0"/>
    <w:pPr>
      <w:keepNext/>
      <w:keepLines/>
      <w:spacing w:before="260" w:after="260" w:line="413" w:lineRule="auto"/>
      <w:outlineLvl w:val="2"/>
    </w:pPr>
    <w:rPr>
      <w:b/>
      <w:sz w:val="32"/>
    </w:rPr>
  </w:style>
  <w:style w:type="character" w:default="1" w:styleId="21">
    <w:name w:val="Default Paragraph Font"/>
    <w:semiHidden/>
    <w:unhideWhenUsed/>
    <w:qFormat/>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Body Text 3"/>
    <w:basedOn w:val="1"/>
    <w:unhideWhenUsed/>
    <w:qFormat/>
    <w:uiPriority w:val="99"/>
    <w:pPr>
      <w:adjustRightInd w:val="0"/>
      <w:spacing w:after="120" w:line="360" w:lineRule="atLeast"/>
      <w:jc w:val="left"/>
      <w:textAlignment w:val="baseline"/>
    </w:pPr>
    <w:rPr>
      <w:rFonts w:ascii="Sans Serif 5cpi" w:hAnsi="Sans Serif 5cpi"/>
      <w:kern w:val="0"/>
      <w:sz w:val="16"/>
      <w:szCs w:val="16"/>
    </w:rPr>
  </w:style>
  <w:style w:type="paragraph" w:styleId="7">
    <w:name w:val="toc 5"/>
    <w:basedOn w:val="1"/>
    <w:next w:val="1"/>
    <w:qFormat/>
    <w:uiPriority w:val="0"/>
    <w:pPr>
      <w:ind w:left="1680" w:leftChars="800"/>
    </w:pPr>
  </w:style>
  <w:style w:type="paragraph" w:styleId="8">
    <w:name w:val="toc 3"/>
    <w:basedOn w:val="1"/>
    <w:next w:val="1"/>
    <w:qFormat/>
    <w:uiPriority w:val="39"/>
    <w:pPr>
      <w:ind w:left="840" w:leftChars="400"/>
    </w:pPr>
  </w:style>
  <w:style w:type="paragraph" w:styleId="9">
    <w:name w:val="toc 8"/>
    <w:basedOn w:val="1"/>
    <w:next w:val="1"/>
    <w:qFormat/>
    <w:uiPriority w:val="0"/>
    <w:pPr>
      <w:ind w:left="2940" w:leftChars="1400"/>
    </w:pPr>
  </w:style>
  <w:style w:type="paragraph" w:styleId="10">
    <w:name w:val="Date"/>
    <w:basedOn w:val="1"/>
    <w:next w:val="1"/>
    <w:link w:val="31"/>
    <w:unhideWhenUsed/>
    <w:qFormat/>
    <w:uiPriority w:val="99"/>
    <w:pPr>
      <w:ind w:left="100" w:leftChars="2500"/>
    </w:pPr>
  </w:style>
  <w:style w:type="paragraph" w:styleId="11">
    <w:name w:val="Balloon Text"/>
    <w:basedOn w:val="1"/>
    <w:link w:val="27"/>
    <w:unhideWhenUsed/>
    <w:qFormat/>
    <w:uiPriority w:val="99"/>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rPr>
      <w:b/>
    </w:rPr>
  </w:style>
  <w:style w:type="paragraph" w:styleId="15">
    <w:name w:val="toc 4"/>
    <w:basedOn w:val="1"/>
    <w:next w:val="1"/>
    <w:qFormat/>
    <w:uiPriority w:val="0"/>
    <w:pPr>
      <w:ind w:left="1260" w:leftChars="600"/>
    </w:pPr>
  </w:style>
  <w:style w:type="paragraph" w:styleId="16">
    <w:name w:val="toc 6"/>
    <w:basedOn w:val="1"/>
    <w:next w:val="1"/>
    <w:qFormat/>
    <w:uiPriority w:val="0"/>
    <w:pPr>
      <w:ind w:left="2100" w:leftChars="1000"/>
    </w:pPr>
  </w:style>
  <w:style w:type="paragraph" w:styleId="17">
    <w:name w:val="toc 2"/>
    <w:basedOn w:val="1"/>
    <w:next w:val="1"/>
    <w:qFormat/>
    <w:uiPriority w:val="39"/>
    <w:pPr>
      <w:ind w:left="420" w:leftChars="200"/>
    </w:pPr>
  </w:style>
  <w:style w:type="paragraph" w:styleId="18">
    <w:name w:val="toc 9"/>
    <w:basedOn w:val="1"/>
    <w:next w:val="1"/>
    <w:qFormat/>
    <w:uiPriority w:val="0"/>
    <w:pPr>
      <w:ind w:left="3360" w:leftChars="1600"/>
    </w:p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22">
    <w:name w:val="Hyperlink"/>
    <w:unhideWhenUsed/>
    <w:qFormat/>
    <w:uiPriority w:val="99"/>
    <w:rPr>
      <w:color w:val="0563C1"/>
      <w:u w:val="single"/>
    </w:rPr>
  </w:style>
  <w:style w:type="paragraph" w:customStyle="1" w:styleId="23">
    <w:name w:val="列出段落1"/>
    <w:basedOn w:val="1"/>
    <w:qFormat/>
    <w:uiPriority w:val="99"/>
    <w:pPr>
      <w:ind w:firstLine="420" w:firstLineChars="200"/>
    </w:pPr>
  </w:style>
  <w:style w:type="paragraph" w:customStyle="1" w:styleId="24">
    <w:name w:val="列出段落2"/>
    <w:basedOn w:val="1"/>
    <w:unhideWhenUsed/>
    <w:qFormat/>
    <w:uiPriority w:val="99"/>
    <w:pPr>
      <w:ind w:firstLine="420" w:firstLineChars="200"/>
    </w:pPr>
  </w:style>
  <w:style w:type="paragraph" w:customStyle="1" w:styleId="25">
    <w:name w:val="正文文本6"/>
    <w:basedOn w:val="1"/>
    <w:qFormat/>
    <w:uiPriority w:val="0"/>
    <w:pPr>
      <w:widowControl/>
      <w:shd w:val="clear" w:color="auto" w:fill="FFFFFF"/>
      <w:spacing w:before="180" w:after="180" w:line="0" w:lineRule="atLeast"/>
      <w:ind w:hanging="860"/>
      <w:jc w:val="left"/>
    </w:pPr>
    <w:rPr>
      <w:rFonts w:ascii="MingLiU" w:hAnsi="MingLiU" w:eastAsia="MingLiU" w:cs="MingLiU"/>
      <w:kern w:val="0"/>
      <w:sz w:val="23"/>
      <w:szCs w:val="23"/>
    </w:rPr>
  </w:style>
  <w:style w:type="character" w:customStyle="1" w:styleId="26">
    <w:name w:val="标题 3 Char"/>
    <w:link w:val="4"/>
    <w:qFormat/>
    <w:uiPriority w:val="0"/>
    <w:rPr>
      <w:b/>
      <w:sz w:val="32"/>
    </w:rPr>
  </w:style>
  <w:style w:type="character" w:customStyle="1" w:styleId="27">
    <w:name w:val="批注框文本 Char"/>
    <w:basedOn w:val="21"/>
    <w:link w:val="11"/>
    <w:semiHidden/>
    <w:qFormat/>
    <w:uiPriority w:val="99"/>
    <w:rPr>
      <w:kern w:val="2"/>
      <w:sz w:val="18"/>
      <w:szCs w:val="18"/>
    </w:rPr>
  </w:style>
  <w:style w:type="character" w:customStyle="1" w:styleId="28">
    <w:name w:val="标题 2 Char"/>
    <w:basedOn w:val="21"/>
    <w:link w:val="3"/>
    <w:qFormat/>
    <w:uiPriority w:val="0"/>
    <w:rPr>
      <w:rFonts w:ascii="Arial" w:hAnsi="Arial" w:eastAsia="黑体"/>
      <w:b/>
      <w:kern w:val="2"/>
      <w:sz w:val="32"/>
    </w:rPr>
  </w:style>
  <w:style w:type="character" w:customStyle="1" w:styleId="29">
    <w:name w:val="font11"/>
    <w:basedOn w:val="21"/>
    <w:qFormat/>
    <w:uiPriority w:val="0"/>
    <w:rPr>
      <w:rFonts w:hint="default" w:ascii="Calibri" w:hAnsi="Calibri" w:cs="Calibri"/>
      <w:color w:val="000000"/>
      <w:sz w:val="20"/>
      <w:szCs w:val="20"/>
      <w:u w:val="none"/>
    </w:rPr>
  </w:style>
  <w:style w:type="character" w:customStyle="1" w:styleId="30">
    <w:name w:val="font31"/>
    <w:basedOn w:val="21"/>
    <w:qFormat/>
    <w:uiPriority w:val="0"/>
    <w:rPr>
      <w:rFonts w:hint="default" w:ascii="Times New Roman" w:hAnsi="Times New Roman" w:cs="Times New Roman"/>
      <w:b/>
      <w:color w:val="000000"/>
      <w:sz w:val="20"/>
      <w:szCs w:val="20"/>
      <w:u w:val="none"/>
    </w:rPr>
  </w:style>
  <w:style w:type="character" w:customStyle="1" w:styleId="31">
    <w:name w:val="日期 Char"/>
    <w:basedOn w:val="21"/>
    <w:link w:val="10"/>
    <w:semiHidden/>
    <w:qFormat/>
    <w:uiPriority w:val="99"/>
    <w:rPr>
      <w:kern w:val="2"/>
      <w:sz w:val="21"/>
    </w:rPr>
  </w:style>
  <w:style w:type="character" w:customStyle="1" w:styleId="32">
    <w:name w:val="Body text + MS Mincho"/>
    <w:qFormat/>
    <w:uiPriority w:val="0"/>
    <w:rPr>
      <w:rFonts w:ascii="MS Mincho" w:hAnsi="MS Mincho" w:eastAsia="MS Mincho" w:cs="MS Mincho"/>
      <w:color w:val="000000"/>
      <w:spacing w:val="0"/>
      <w:w w:val="100"/>
      <w:position w:val="0"/>
      <w:sz w:val="25"/>
      <w:szCs w:val="25"/>
      <w:u w:val="none"/>
      <w:shd w:val="clear" w:color="auto" w:fill="FFFFFF"/>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yzr</Company>
  <Pages>21</Pages>
  <Words>1650</Words>
  <Characters>9408</Characters>
  <Lines>78</Lines>
  <Paragraphs>22</Paragraphs>
  <TotalTime>0</TotalTime>
  <ScaleCrop>false</ScaleCrop>
  <LinksUpToDate>false</LinksUpToDate>
  <CharactersWithSpaces>11036</CharactersWithSpaces>
  <Application>WPS Office_11.3.0.8513_F1E327BC-269C-435d-A152-05C5408002CA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2021-05-24T02:09:00Z</dcterms:created>
  <dc:creator>user</dc:creator>
  <cp:lastModifiedBy>z0134</cp:lastModifiedBy>
  <cp:lastPrinted>2018-08-15T13:55:00Z</cp:lastPrinted>
  <dcterms:modified xsi:type="dcterms:W3CDTF">2021-05-24T02:34:30Z</dcterms:modified>
  <dc:title>上能电气股份有限公司社会责任报告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